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 OFERTOWEGO</w:t>
      </w:r>
    </w:p>
    <w:p>
      <w:pPr>
        <w:pStyle w:val="Normal"/>
        <w:spacing w:before="240" w:after="240"/>
        <w:jc w:val="center"/>
        <w:rPr>
          <w:b/>
          <w:u w:val="single" w:color="FFFFFF"/>
        </w:rPr>
      </w:pPr>
      <w:r>
        <w:rPr>
          <w:b/>
          <w:u w:val="single" w:color="FFFFFF"/>
        </w:rPr>
        <w:t>SZCZEGÓŁOWY OPIS PRZEDMIOTU ZAMÓWIENIA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Zorganizowanie i przeprowadzenie spotkań świadomościowych na rzecz rozwoju rodzinnych form pieczy zastępczej wraz z usługą gastronomiczną oraz przygotowaniem materiałów dydaktycznych </w:t>
      </w:r>
      <w:r>
        <w:rPr>
          <w:rFonts w:cs="Calibri"/>
          <w:b/>
          <w:bCs/>
          <w:sz w:val="22"/>
          <w:szCs w:val="22"/>
        </w:rPr>
        <w:t xml:space="preserve">w zakresie projektu „Rodzina w Centrum Etap I” realizowanego i współfinansowanego </w:t>
      </w:r>
      <w:r>
        <w:rPr>
          <w:rFonts w:cs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 </w:t>
      </w:r>
    </w:p>
    <w:tbl>
      <w:tblPr>
        <w:tblStyle w:val="NormalTable"/>
        <w:tblW w:w="9294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2380"/>
        <w:gridCol w:w="6913"/>
      </w:tblGrid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1. Przedmiot zamówienia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ind w:hanging="284" w:left="284"/>
              <w:jc w:val="center"/>
              <w:rPr>
                <w:sz w:val="20"/>
                <w:szCs w:val="20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lang w:val="pl-PL" w:eastAsia="zh-CN" w:bidi="ar-SA"/>
              </w:rPr>
              <w:t>Przedmiotem zamówienia jest zorganizowanie 3 spotkań świadomościowych na rzecz rozwoju rodzinnych form pieczy zastępczej realizowanego w ramach projektu własnego Województwa Kujawsko-Pomorskiego, pn. „Rodzina w centrum Etap I”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2. Cel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Celem spotkań jest propagowanie idei rozwoju rodzinnych form pieczy zastępczej, zwiększenie wiedzy lokalnej społeczności na temat potrzeby deinstytucjonalizacji pieczy zastępczej oraz potrzeb dzieci pozbawionych opieki i wychowania w rodzinach naturalnych.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Style w:val="FontStyle111"/>
                <w:rFonts w:eastAsia="Calibri" w:cs="Calibri"/>
                <w:sz w:val="20"/>
                <w:szCs w:val="20"/>
                <w:lang w:val="pl-PL" w:eastAsia="zh-CN" w:bidi="ar-SA"/>
              </w:rPr>
              <w:t>3. Grupa docelowa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Spotkania będą adresowane m.in.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tematyką rodzicielstwa zastępczego.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4. Ramowe założenia spotkań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Wykonawca zobowiązuje się kompleksowo zorganizować 3 spotkania dotyczące rozwoju rodzinnych form pieczy zastępczej wraz z usługą gastronomiczną oraz przygotowaniem materiałów dydaktycznych z uwzględnieniem następujących ramowych założeń: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360" w:left="100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spotkania mają charakter edukacyjny w związku z tym mogą mieć formę panelu, wymiany doświadczeń, prezentacji dobrych praktyk z udziałem rodzin zastępczych, wykładu z udziałem eksperta, seminarium edukacyjnego,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360" w:left="1004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spotkania obejmują w szczególności następujące kategorie wydatków:</w:t>
            </w:r>
          </w:p>
          <w:p>
            <w:pPr>
              <w:pStyle w:val="ListParagraph"/>
              <w:widowControl w:val="false"/>
              <w:numPr>
                <w:ilvl w:val="3"/>
                <w:numId w:val="8"/>
              </w:numPr>
              <w:suppressAutoHyphens w:val="true"/>
              <w:spacing w:lineRule="auto" w:line="240" w:before="0" w:after="0"/>
              <w:ind w:hanging="360" w:left="1377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wynagrodzenie ekspertów/trenerów/wykładowców;</w:t>
            </w:r>
          </w:p>
          <w:p>
            <w:pPr>
              <w:pStyle w:val="ListParagraph"/>
              <w:widowControl w:val="false"/>
              <w:numPr>
                <w:ilvl w:val="3"/>
                <w:numId w:val="8"/>
              </w:numPr>
              <w:suppressAutoHyphens w:val="true"/>
              <w:spacing w:lineRule="auto" w:line="240" w:before="0" w:after="0"/>
              <w:ind w:hanging="360" w:left="1377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wynajem sal dydaktycznych;</w:t>
            </w:r>
          </w:p>
          <w:p>
            <w:pPr>
              <w:pStyle w:val="ListParagraph"/>
              <w:widowControl w:val="false"/>
              <w:numPr>
                <w:ilvl w:val="3"/>
                <w:numId w:val="8"/>
              </w:numPr>
              <w:suppressAutoHyphens w:val="true"/>
              <w:spacing w:lineRule="auto" w:line="240" w:before="0" w:after="0"/>
              <w:ind w:hanging="360" w:left="1377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materiały dydaktyczne;</w:t>
            </w:r>
          </w:p>
          <w:p>
            <w:pPr>
              <w:pStyle w:val="ListParagraph"/>
              <w:widowControl w:val="false"/>
              <w:numPr>
                <w:ilvl w:val="3"/>
                <w:numId w:val="8"/>
              </w:numPr>
              <w:suppressAutoHyphens w:val="true"/>
              <w:spacing w:lineRule="auto" w:line="240" w:before="0" w:after="0"/>
              <w:ind w:hanging="360" w:left="1377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catering</w:t>
            </w:r>
          </w:p>
          <w:p>
            <w:pPr>
              <w:pStyle w:val="ListParagraph"/>
              <w:widowControl w:val="false"/>
              <w:numPr>
                <w:ilvl w:val="3"/>
                <w:numId w:val="8"/>
              </w:numPr>
              <w:suppressAutoHyphens w:val="true"/>
              <w:spacing w:lineRule="auto" w:line="240" w:before="0" w:after="0"/>
              <w:ind w:hanging="360" w:left="1377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serwis kawowy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5. Termin realizacji usługi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 xml:space="preserve">1. Zamawiający wymaga realizacji przedmiotu zamówienia, o którym mowa w rozdziale V </w:t>
            </w: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do dnia 30 czerwca 2026r., w tym: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76"/>
              <w:ind w:hanging="360" w:left="72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spotkanie w 2024r. (od dnia podpisania umowy do 20 grudnia 2024r.);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76"/>
              <w:ind w:hanging="360" w:left="72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spotkanie w 2025r. (od 1 stycznia 2025r. do 30 kwietnia 2025r.)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76"/>
              <w:ind w:hanging="360" w:left="720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1 spotkanie w 2026r. (od 1 stycznia 2026r. do 30 czerwca 2026r.)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2. Dokładny termin i adres realizacji poszczególnych spotkań po uzgodnieniu z Zamawiającym.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6. Miejsce docelowe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Spotkania zostaną przeprowadzone na terenie powiatu nakielskiego, przy czym dokładne miejsce realizacji poszczególnych spotkań musi zostać uzgodnione z Zamawiającym.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7. Liczba uczestników jednego spotkania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Max 30 osób, przy czym dopuszcza się udział mniejszej liczby osób.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8. Czas trwania jednego spotkania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Spotkanie winno trwać 6 godzin zegarowych każde.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9. Wykonawca zobowiązuje się do: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zorganizowania i przeprowadzenia spotkań dla uczestników zgodnie z programem;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zapewnienia wykwalifikowanej kadry (</w:t>
            </w:r>
            <w:bookmarkStart w:id="0" w:name="_Hlk493146949"/>
            <w:bookmarkEnd w:id="0"/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ekspertów/trenerów/wykładowców)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sprawowania opieki organizatorskiej na każdym spotkaniu i nad uczestnikami na poszczególnych spotkaniach;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zapewnienia i wydania materiałów dydaktycznych;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sz w:val="22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 xml:space="preserve">zapewnienia i wydania posiłków dla uczestników </w:t>
            </w: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zgodnie z zaproponowanym i zaakceptowanym przez Zamawiającego menu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 xml:space="preserve"> oraz przeprowadzenia prac porządkowych po spotkaniach;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wydania wszystkim uczestnikom imiennego zaświadczenia o udziale w spotkaniu oraz przekazania kserokopii dokumentów Zamawiającemu;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zapewnienia sal dydaktycznych przystosowanych do prowadzenia zajęć;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wykonania dokumentacji fotograficznej;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przekazania wszystkich niezbędnych dokumentów (w tym sprawozdania) dotyczących realizacji działania określonych i wymaganych przez Zamawiającego.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98" w:leader="none"/>
              </w:tabs>
              <w:suppressAutoHyphens w:val="true"/>
              <w:spacing w:lineRule="auto" w:line="240" w:before="0" w:after="0"/>
              <w:ind w:hanging="360" w:left="363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zapewnienia odpowiednich warunków związanych z panującą sytuacją epidemiologiczną – zgodnie z obowiązującym stanem prawnym.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10. Zadania Zamawiającego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Zamawiający zobowiązuje się do: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rekrutacji uczestników poszczególnych spotkań,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dostarczenia Wykonawcy imiennej listy uczestników na każde spotkanie na trzy dni przed jego rozpoczęciem,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przekazania wzoru listy obecności na spotkania wraz z potwierdzeniem odbioru cateringu i materiałów dydaktycznych.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11. Personel/kadra merytoryczna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Wykonawca zobowiązuje się do zapewnienia podczas każdego spotkania co najmniej 2 ekspertów/</w:t>
            </w: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trenerów/wykładowców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  <w:lang w:val="pl-PL" w:eastAsia="zh-CN" w:bidi="ar-SA"/>
              </w:rPr>
              <w:t>w obszarze wspierania rodziny i systemu pieczy zastępczej posiadających wykształcenie wyższe oraz udokumentowane co najmniej 3 – letnie doświadczenie w pracy z rodziną i/lub dzieckiem lub na rzecz dziecka i/lub rodziny;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12. Harmonogram spotkań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Style w:val="FontStyle111"/>
                <w:rFonts w:eastAsia="Calibri" w:cs="Calibri"/>
                <w:sz w:val="20"/>
                <w:szCs w:val="20"/>
                <w:lang w:val="pl-PL" w:eastAsia="zh-CN" w:bidi="ar-SA"/>
              </w:rPr>
              <w:t>Szczegółowy harmonogram uwzględniający ramowe założenia poszczególnych spotkań (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z podaniem m.in. formy spotkania i tematów zajęć prowadzonych przez ekspertów</w:t>
            </w:r>
            <w:r>
              <w:rPr>
                <w:rFonts w:eastAsia="Calibri" w:cs="Calibri"/>
                <w:bCs/>
                <w:color w:val="000000"/>
                <w:sz w:val="20"/>
                <w:szCs w:val="20"/>
                <w:lang w:val="pl-PL" w:eastAsia="zh-CN" w:bidi="ar-SA"/>
              </w:rPr>
              <w:t>/trenerów/wykładowców)</w:t>
            </w:r>
            <w:r>
              <w:rPr>
                <w:rStyle w:val="FontStyle111"/>
                <w:rFonts w:eastAsia="Calibri" w:cs="Calibri"/>
                <w:sz w:val="20"/>
                <w:szCs w:val="20"/>
                <w:lang w:val="pl-PL" w:eastAsia="zh-CN" w:bidi="ar-SA"/>
              </w:rPr>
              <w:t xml:space="preserve"> Wykonawca uzgodni z Zamawiającym, p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rzy czym harmonogramy spotkań nie powinny się powtarzać.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13. Materiały dydaktyczne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hanging="0" w:left="360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Wykonawca zobowiązany jest do: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60" w:left="363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zapewnienia dla każdego uczestnika biorącego udział w spotkaniu oraz dla Zamawiającego kompletu materiałów dydaktycznych, trwale oznakowanych logo przekazanym przez Zamawiającego. Wersje papierowe materiałów muszą być opatrzone: tytułem i datą spotkania, nazwą projektu i organizatora.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left="363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Komplet materiałów dydaktycznych będzie zawierał: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360" w:left="788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harmonogram spotkania;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360" w:left="788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notes (format A4, min. 20 kartek);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360" w:left="788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długopis metalowy automatyczny, ze stali nierdzewnej, z chromowanymi wykończeniami;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360" w:left="788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 xml:space="preserve">teczka jednokolorowa format A4 </w:t>
            </w: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wykonana z przezroczystego, elastycznego, odpornego na pęknięcia tworzywa polipropylenowego.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Wszystkie materiały dydaktyczne wymagają ostatecznej akceptacji Zamawiającego przed ich wykonaniem (materiały do akceptacji co najmniej tydzień przed planowanym spotkaniem).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Odbiór materiałów dydaktycznych musi być potwierdzony przez uczestnika własnoręcznym podpisem.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ind w:hanging="360" w:left="360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Koszty opracowania, transportu i powielenia materiałów ponosi Wykonawca.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14. Dokumentacja fotograficzna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Wykonawca zobowiązuje się prowadzić fotograficzną dokumentację przebiegu działań realizowanych w ramach projektu aparatem cyfrowym – minimum 10 zdjęć dobrej jakości po każdym spotkaniu. Materiał fotograficzny Wykonawca przekaże Zamawiającemu niezwłocznie po zakończeniu działania drogą elektroniczną oraz na nośniku CD/pendrive w przeciągu 7 dni po każdym spotkaniu.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15. Miejsce realizacji spotkania/sale dydaktyczne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43" w:left="243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1. Sale dydaktyczne, z oknami zapewniającymi światło dzienne i wietrzenie -  klimatyzowane, w sezonie grzewczym odpowiednio ogrzane z możliwością indywidualnej aranżacji wyposażone w: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miejsca siedzące dla wszystkich uczestników spotkania (krzesła tapicerowane);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dostęp do bezprzewodowego Internetu;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flipchart, papier do flipcharta, komplet markerów;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tablica suchościeralna z kompletem pisaków;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sprzęt do prezentacji (ekran, rzutnik multimedialny);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laptop;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nagłośnienie;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mikrofon bezprzewodowy;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zaplecze sanitarne;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83" w:left="64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wieszaki na odzież wierzchnią.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2. Lokal zapewniający b</w:t>
            </w: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ezpieczne i higieniczne warunki udziału w spotkaniu, w szczególności w obiekcie lub na terenie spełniającym wymagania ochrony przeciwpożarowej, ochrony środowiska oraz warunki higieniczno-sanitarne, określone w przepisach o ochronie przeciwpożarowej, ochronie środowiska i Państwowej Inspekcji Sanitarnej.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3. Lokal dostosowany do potrzeb osób z niepełnosprawnością.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16. Usługa gastronomiczna dla wszystkich uczestników spotkania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43" w:left="243"/>
              <w:jc w:val="both"/>
              <w:rPr>
                <w:sz w:val="22"/>
              </w:rPr>
            </w:pPr>
            <w:r>
              <w:rPr>
                <w:rStyle w:val="FontStyle111"/>
                <w:rFonts w:eastAsia="Calibri" w:cs="Calibri"/>
                <w:sz w:val="20"/>
                <w:szCs w:val="20"/>
                <w:lang w:val="pl-PL" w:eastAsia="zh-CN" w:bidi="ar-SA"/>
              </w:rPr>
              <w:t>1. Wykonawca zapewni usługę gastronomiczną podczas każdego spotkania dla wszystkich uczestników składającą się z: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hanging="357" w:left="526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jednej przerwy kawowej, w tym: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kawa czarna z ekspresu i/lub w termosach,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herbata czarna oraz wrzątek w termosach,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woda mineralna gazowana, niegazowana w butelkach  - 0,5 litra na osobę,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soki (dwa rodzaje) po 0,3 l na osobę,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cukier, śmietanka do kawy, cytryna,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owoce (3 rodzaje),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57" w:left="810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dwa rodzaje ciasta – po dwa kawałki na osobę (1 kawałek 150 gram).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hanging="357" w:left="526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jednego obiadu, w tym każdy obiad obejmuje: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60" w:left="1094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zupę 300 ml każda porcja (dwa rodzaje);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60" w:left="1094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mięso lub ryba na ciepło - 150 gram każda porcja (trzy rodzaje do wyboru);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60" w:left="1094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zestaw surówek ze świeżych i/lub gotowanych warzyw  – 150 gram każda porcja (trzy rodzaje);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60" w:left="1094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do dania głównego podane zostaną dodatki (ziemniaki, kasza, ryż, lub frytki) – 200g;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60" w:left="1094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soki owocowe 0.3 l jedna porcja,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360" w:left="1094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wodę mineralną 0.3 l jedna porcja.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243" w:left="243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2. Wykonawca zobowiązuje się do przygotowania odpowiedniej liczby zastawy  adekwatnej do posiłku z wyłączeniem naczyń jednorazowego użytku,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243" w:left="243"/>
              <w:contextualSpacing/>
              <w:jc w:val="both"/>
              <w:rPr/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3. Posiłki winny posiadać odpowiednie walory smakowe i zapachowe oraz estetyczny wygląd. Wykonawca przy oferowaniu posiłków powinien stosować świeże produkty spożywcze.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43" w:left="243"/>
              <w:jc w:val="both"/>
              <w:rPr>
                <w:sz w:val="22"/>
              </w:rPr>
            </w:pPr>
            <w:r>
              <w:rPr>
                <w:rStyle w:val="FontStyle111"/>
                <w:rFonts w:eastAsia="Times New Roman" w:cs="Calibri"/>
                <w:sz w:val="20"/>
                <w:szCs w:val="20"/>
                <w:lang w:val="pl-PL" w:eastAsia="zh-CN" w:bidi="ar-SA"/>
              </w:rPr>
              <w:t>4. Wykonawca zobowiązany jest do dostarczenia potraw i napojów, zgodnie z zaproponowanym i zaakceptowanym przez Zamawiającego menu oraz zobowiązany jest do zapewnienia zaplecza technicznego i obsługi potrzebnej do sprawnego przeprowadzenia usługi gastronomicznej, z uwzględnieniem wszelkich prac porządkowych po zakończeniu spotkań.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17. Sprawozdanie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10"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Wykonawca jest zobowiązany do sporządzenia sprawozdania (załącznik nr 6 do umowy) z każdego spotkania i przekazania go Zamawiającemu wraz z załącznikami: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83" w:left="668"/>
              <w:contextualSpacing/>
              <w:jc w:val="both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faktura,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83" w:left="668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 xml:space="preserve">lista obecności uczestników </w:t>
            </w: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wraz z potwierdzeniem odbioru cateringu i materiałów dydaktycznych,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83" w:left="668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komplet materiałów dydaktycznych,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83" w:left="668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l-PL" w:eastAsia="zh-CN" w:bidi="ar-SA"/>
              </w:rPr>
              <w:t>kserokopie imiennych zaświadczeń dla uczestników spotkania</w:t>
            </w: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18. Wykonawca - wymagania ogólne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08" w:leader="none"/>
              </w:tabs>
              <w:suppressAutoHyphens w:val="true"/>
              <w:spacing w:lineRule="auto" w:line="240" w:before="0" w:after="0"/>
              <w:ind w:hanging="360"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Wymagana jest należyta staranność przy realizacji zamówienia oraz zorientowanie na osiągnięcie celu.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08" w:leader="none"/>
              </w:tabs>
              <w:suppressAutoHyphens w:val="true"/>
              <w:spacing w:lineRule="auto" w:line="240" w:before="0" w:after="0"/>
              <w:ind w:hanging="360"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  <w:lang w:val="pl-PL" w:eastAsia="zh-CN" w:bidi="ar-SA"/>
              </w:rPr>
              <w:t>Dokładne ustalenia i decyzje dotyczące realizacji zamówienia (takie jak szczegółowy harmonogram itp.) uzgadniane będą pomiędzy Zamawiającym a Wykonawcą.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08" w:leader="none"/>
              </w:tabs>
              <w:suppressAutoHyphens w:val="true"/>
              <w:spacing w:lineRule="auto" w:line="240" w:before="0" w:after="0"/>
              <w:ind w:hanging="360"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pl-PL" w:eastAsia="zh-CN" w:bidi="ar-SA"/>
              </w:rPr>
              <w:t>Wykonawcy określą telefony kontaktowe i adresy e-mail w celu dokonywania innych ustaleń niezbędnych dla sprawnego i terminowego wykonania zamówienia.</w:t>
            </w:r>
          </w:p>
        </w:tc>
      </w:tr>
      <w:tr>
        <w:trPr/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l-PL" w:eastAsia="zh-CN" w:bidi="ar-SA"/>
              </w:rPr>
              <w:t>19. Działania kontrolne</w:t>
            </w:r>
          </w:p>
        </w:tc>
        <w:tc>
          <w:tcPr>
            <w:tcW w:w="6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08" w:leader="none"/>
              </w:tabs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Style w:val="FontStyle111"/>
                <w:rFonts w:eastAsia="Calibri" w:cs="Times New Roman"/>
                <w:sz w:val="20"/>
                <w:szCs w:val="20"/>
                <w:lang w:val="pl-PL" w:eastAsia="zh-CN" w:bidi="ar-SA"/>
              </w:rPr>
              <w:t>Zamawiający ma prawo w każdym momencie trwania spotkań do przeprowadzenia kontroli realizacji przedmiotu zamówienia.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1417" w:footer="408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spacing w:before="0" w:after="200"/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spacing w:before="0" w:after="200"/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/>
        <w:b w:val="false"/>
        <w:bCs w:val="false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45110" cy="203200"/>
              <wp:effectExtent l="0" t="0" r="0" b="0"/>
              <wp:wrapNone/>
              <wp:docPr id="1" name="Prostokąt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0" w:after="200"/>
                            <w:rPr>
                              <w:rFonts w:eastAsia="Basic Roman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Basic Roman" w:cs="Calibri"/>
                              <w:color w:val="000000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lIns="45720" rIns="45720" tIns="91440" bIns="91440" anchor="ctr" vert="vert270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8" path="m0,0l-2147483645,0l-2147483645,-2147483646l0,-2147483646xe" stroked="f" o:allowincell="f" style="position:absolute;margin-left:25.75pt;margin-top:662.3pt;width:19.25pt;height:15.95pt;mso-wrap-style:none;v-text-anchor:middle;mso-position-horizontal:center;mso-position-horizontal-relative:page;mso-position-vertical:bottom;mso-position-vertical-relative:margin"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Footer"/>
                      <w:spacing w:before="0" w:after="200"/>
                      <w:rPr>
                        <w:rFonts w:eastAsia="Basic Roman" w:cs="Calibri"/>
                        <w:sz w:val="20"/>
                        <w:szCs w:val="20"/>
                      </w:rPr>
                    </w:pPr>
                    <w:r>
                      <w:rPr>
                        <w:rFonts w:eastAsia="Basic Roman" w:cs="Calibri"/>
                        <w:color w:val="000000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-1270</wp:posOffset>
          </wp:positionH>
          <wp:positionV relativeFrom="paragraph">
            <wp:posOffset>-396240</wp:posOffset>
          </wp:positionV>
          <wp:extent cx="5813425" cy="752475"/>
          <wp:effectExtent l="0" t="0" r="0" b="0"/>
          <wp:wrapTopAndBottom/>
          <wp:docPr id="2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34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45110" cy="203200"/>
              <wp:effectExtent l="0" t="0" r="0" b="0"/>
              <wp:wrapNone/>
              <wp:docPr id="3" name="Prostokąt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0" w:after="200"/>
                            <w:rPr>
                              <w:rFonts w:eastAsia="Basic Roman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Basic Roman" w:cs="Calibri"/>
                              <w:color w:val="000000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lIns="45720" rIns="45720" tIns="91440" bIns="91440" anchor="ctr" vert="vert270" upright="1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8" path="m0,0l-2147483645,0l-2147483645,-2147483646l0,-2147483646xe" stroked="f" o:allowincell="f" style="position:absolute;margin-left:25.75pt;margin-top:662.3pt;width:19.25pt;height:15.95pt;mso-wrap-style:none;v-text-anchor:middle;mso-position-horizontal:center;mso-position-horizontal-relative:page;mso-position-vertical:bottom;mso-position-vertical-relative:margin"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Footer"/>
                      <w:spacing w:before="0" w:after="200"/>
                      <w:rPr>
                        <w:rFonts w:eastAsia="Basic Roman" w:cs="Calibri"/>
                        <w:sz w:val="20"/>
                        <w:szCs w:val="20"/>
                      </w:rPr>
                    </w:pPr>
                    <w:r>
                      <w:rPr>
                        <w:rFonts w:eastAsia="Basic Roman" w:cs="Calibri"/>
                        <w:color w:val="000000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-1270</wp:posOffset>
          </wp:positionH>
          <wp:positionV relativeFrom="paragraph">
            <wp:posOffset>-396240</wp:posOffset>
          </wp:positionV>
          <wp:extent cx="5813425" cy="752475"/>
          <wp:effectExtent l="0" t="0" r="0" b="0"/>
          <wp:wrapTopAndBottom/>
          <wp:docPr id="4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34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0"/>
        <w:szCs w:val="2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62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378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5940" w:hanging="0"/>
      </w:pPr>
      <w:rPr/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62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378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5940" w:hanging="0"/>
      </w:pPr>
      <w:rPr/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30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5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7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1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3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5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7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90" w:hanging="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370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9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1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3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5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7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9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1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30" w:hanging="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264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2804" w:hanging="0"/>
      </w:pPr>
      <w:rPr>
        <w:rFonts w:ascii="Symbol" w:hAnsi="Symbol" w:cs="Symbol" w:hint="default"/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424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584" w:hanging="0"/>
      </w:pPr>
      <w:rPr/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0"/>
      </w:pPr>
      <w:rPr/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360" w:hanging="0"/>
      </w:pPr>
      <w:rPr/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Basic Roman"/>
      <w:color w:val="auto"/>
      <w:kern w:val="2"/>
      <w:sz w:val="22"/>
      <w:szCs w:val="22"/>
      <w:lang w:val="pl-PL" w:eastAsia="zh-CN" w:bidi="ar-SA"/>
    </w:rPr>
  </w:style>
  <w:style w:type="character" w:styleId="DefaultParagraphFont" w:default="1">
    <w:name w:val="Default Paragraph Font"/>
    <w:qFormat/>
    <w:rPr/>
  </w:style>
  <w:style w:type="character" w:styleId="NagwekZnak" w:customStyle="1">
    <w:name w:val="Nagłówek Znak"/>
    <w:basedOn w:val="DefaultParagraphFont"/>
    <w:qFormat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qFormat/>
    <w:rPr>
      <w:rFonts w:ascii="Calibri" w:hAnsi="Calibri" w:eastAsia="Calibri" w:cs="Times New Roman"/>
    </w:rPr>
  </w:style>
  <w:style w:type="character" w:styleId="FontStyle111" w:customStyle="1">
    <w:name w:val="Font Style111"/>
    <w:qFormat/>
    <w:rPr>
      <w:rFonts w:ascii="Arial" w:hAnsi="Arial" w:cs="Arial"/>
      <w:color w:val="000000"/>
      <w:sz w:val="18"/>
      <w:szCs w:val="18"/>
    </w:rPr>
  </w:style>
  <w:style w:type="character" w:styleId="CommentReference" w:customStyle="1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InternetLink" w:customStyle="1">
    <w:name w:val="Internet Link"/>
    <w:qFormat/>
    <w:rPr>
      <w:color w:val="0000FF"/>
      <w:u w:val="single" w:color="FFFFFF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 w:customStyle="1">
    <w:name w:val="header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</w:rPr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Style38" w:customStyle="1">
    <w:name w:val="Style38"/>
    <w:basedOn w:val="Normal"/>
    <w:qFormat/>
    <w:pPr>
      <w:widowControl w:val="false"/>
      <w:spacing w:lineRule="exact" w:line="230" w:before="0" w:after="0"/>
    </w:pPr>
    <w:rPr>
      <w:rFonts w:ascii="Arial" w:hAnsi="Arial" w:eastAsia="Times New Roman" w:cs="Arial"/>
      <w:sz w:val="24"/>
      <w:szCs w:val="24"/>
    </w:rPr>
  </w:style>
  <w:style w:type="paragraph" w:styleId="Style37" w:customStyle="1">
    <w:name w:val="Style37"/>
    <w:basedOn w:val="Normal"/>
    <w:qFormat/>
    <w:pPr>
      <w:widowControl w:val="false"/>
      <w:spacing w:lineRule="exact" w:line="230" w:before="0" w:after="0"/>
    </w:pPr>
    <w:rPr>
      <w:rFonts w:ascii="Arial" w:hAnsi="Arial" w:eastAsia="Times New Roman" w:cs="Arial"/>
      <w:sz w:val="24"/>
      <w:szCs w:val="24"/>
    </w:rPr>
  </w:style>
  <w:style w:type="paragraph" w:styleId="CommentText" w:customStyle="1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 w:customStyle="1">
    <w:name w:val="annotation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Zawartoramki" w:customStyle="1">
    <w:name w:val="Zawartość ramki"/>
    <w:basedOn w:val="Normal"/>
    <w:qFormat/>
    <w:pPr/>
    <w:rPr/>
  </w:style>
  <w:style w:type="paragraph" w:styleId="CommentText1">
    <w:name w:val="Comment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CommentSubject">
    <w:name w:val="Comment Subject"/>
    <w:basedOn w:val="CommentText1"/>
    <w:next w:val="CommentText1"/>
    <w:qFormat/>
    <w:pPr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Calibri" pitchFamily="0" charset="1"/>
        <a:cs typeface="Basic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LibreOffice/24.8.0.3$Windows_X86_64 LibreOffice_project/0bdf1299c94fe897b119f97f3c613e9dca6be583</Application>
  <AppVersion>15.0000</AppVersion>
  <Pages>4</Pages>
  <Words>1362</Words>
  <Characters>9293</Characters>
  <CharactersWithSpaces>10495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2017-04-20T12:19:00Z</dcterms:created>
  <dc:creator>kamila</dc:creator>
  <dc:description/>
  <dc:language>pl-PL</dc:language>
  <cp:lastModifiedBy/>
  <cp:lastPrinted>2017-09-14T10:41:00Z</cp:lastPrinted>
  <dcterms:modified xsi:type="dcterms:W3CDTF">2024-09-24T10:37:12Z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