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right"/>
        <w:rPr>
          <w:sz w:val="20"/>
          <w:szCs w:val="20"/>
        </w:rPr>
      </w:pPr>
      <w:r>
        <w:rPr>
          <w:sz w:val="20"/>
          <w:szCs w:val="20"/>
        </w:rPr>
        <w:t>ZAŁĄCZNIK NR 1 DO ZAPYTANIA OFERTOWEGO</w:t>
      </w:r>
    </w:p>
    <w:p>
      <w:pPr>
        <w:pStyle w:val="Normal"/>
        <w:spacing w:before="240" w:after="240"/>
        <w:jc w:val="center"/>
        <w:rPr>
          <w:b/>
          <w:b/>
          <w:u w:val="single" w:color="FFFFFF"/>
        </w:rPr>
      </w:pPr>
      <w:r>
        <w:rPr>
          <w:b/>
          <w:u w:val="single" w:color="FFFFFF"/>
        </w:rPr>
        <w:t>SZCZEGÓŁOWY OPIS PRZEDMIOTU ZAMÓWIENIA</w:t>
      </w:r>
    </w:p>
    <w:p>
      <w:pPr>
        <w:pStyle w:val="Normal"/>
        <w:spacing w:before="0" w:after="0"/>
        <w:jc w:val="center"/>
        <w:rPr>
          <w:rFonts w:cs="Calibri"/>
          <w:b/>
          <w:b/>
        </w:rPr>
      </w:pPr>
      <w:r>
        <w:rPr>
          <w:rFonts w:cs="Calibri"/>
          <w:b/>
        </w:rPr>
        <w:t>Zorganizowanie i przeprowadzenie spotkań dotyczących rozwoju</w:t>
      </w:r>
    </w:p>
    <w:p>
      <w:pPr>
        <w:pStyle w:val="Normal"/>
        <w:spacing w:before="0" w:after="0"/>
        <w:jc w:val="center"/>
        <w:rPr>
          <w:rFonts w:cs="Calibri"/>
          <w:b/>
          <w:b/>
        </w:rPr>
      </w:pPr>
      <w:r>
        <w:rPr>
          <w:rFonts w:cs="Calibri"/>
          <w:b/>
        </w:rPr>
        <w:t>rodzinnych form pieczy zastępczej oraz placówek opiekuńczo – wychowawczych do 14 dzieci</w:t>
      </w:r>
    </w:p>
    <w:p>
      <w:pPr>
        <w:pStyle w:val="Normal"/>
        <w:spacing w:before="0" w:after="0"/>
        <w:jc w:val="center"/>
        <w:rPr>
          <w:rFonts w:cs="Calibri"/>
          <w:b/>
          <w:b/>
        </w:rPr>
      </w:pPr>
      <w:r>
        <w:rPr>
          <w:rFonts w:cs="Calibri"/>
          <w:b/>
        </w:rPr>
        <w:t>wraz z usługą gastronomiczną oraz przygotowaniem materiałów dydaktycznych</w:t>
      </w:r>
    </w:p>
    <w:p>
      <w:pPr>
        <w:pStyle w:val="Normal"/>
        <w:spacing w:before="0" w:after="0"/>
        <w:jc w:val="center"/>
        <w:rPr>
          <w:rFonts w:cs="Calibri"/>
          <w:b/>
          <w:b/>
        </w:rPr>
      </w:pPr>
      <w:r>
        <w:rPr>
          <w:rFonts w:cs="Calibri"/>
          <w:b/>
        </w:rPr>
        <w:t xml:space="preserve">w zakresie projektu „Rodzina w Centrum </w:t>
      </w:r>
      <w:bookmarkStart w:id="0" w:name="_GoBack"/>
      <w:bookmarkEnd w:id="0"/>
      <w:r>
        <w:rPr>
          <w:rFonts w:cs="Calibri"/>
          <w:b/>
        </w:rPr>
        <w:t>3” realizowanego i współfinansowanego w ramach Regionalnego Programu Operacyjnego Województwa Kujawsko – Pomorskiego</w:t>
      </w:r>
    </w:p>
    <w:p>
      <w:pPr>
        <w:pStyle w:val="Normal"/>
        <w:spacing w:before="0" w:after="0"/>
        <w:jc w:val="center"/>
        <w:rPr>
          <w:rFonts w:cs="Calibri"/>
          <w:b/>
          <w:b/>
        </w:rPr>
      </w:pPr>
      <w:r>
        <w:rPr>
          <w:rFonts w:cs="Calibri"/>
          <w:b/>
        </w:rPr>
        <w:t>na lata 2014-2020, w ramach osi priorytetowej 9 Solidarne społeczeństwo</w:t>
      </w:r>
    </w:p>
    <w:p>
      <w:pPr>
        <w:pStyle w:val="Normal"/>
        <w:spacing w:before="0" w:after="0"/>
        <w:jc w:val="center"/>
        <w:rPr>
          <w:rFonts w:cs="Calibri"/>
          <w:b/>
          <w:b/>
        </w:rPr>
      </w:pPr>
      <w:r>
        <w:rPr>
          <w:rFonts w:cs="Calibri"/>
          <w:b/>
        </w:rPr>
        <w:t>Działania 9.3 Rozwój usług zdrowotnych i społecznych,</w:t>
      </w:r>
    </w:p>
    <w:p>
      <w:pPr>
        <w:pStyle w:val="Normal"/>
        <w:spacing w:before="0" w:after="0"/>
        <w:jc w:val="center"/>
        <w:rPr>
          <w:rFonts w:cs="Calibri"/>
          <w:b/>
          <w:b/>
        </w:rPr>
      </w:pPr>
      <w:r>
        <w:rPr>
          <w:rFonts w:cs="Calibri"/>
          <w:b/>
        </w:rPr>
        <w:t>Poddziałania 9.3.2 Rozwój usług społecznych</w:t>
      </w:r>
    </w:p>
    <w:tbl>
      <w:tblPr>
        <w:tblStyle w:val="NormalTable"/>
        <w:tblW w:w="9294" w:type="dxa"/>
        <w:jc w:val="center"/>
        <w:tblInd w:w="0" w:type="dxa"/>
        <w:tblLayout w:type="fixed"/>
        <w:tblCellMar>
          <w:top w:w="0" w:type="dxa"/>
          <w:left w:w="40" w:type="dxa"/>
          <w:bottom w:w="0" w:type="dxa"/>
          <w:right w:w="40" w:type="dxa"/>
        </w:tblCellMar>
        <w:tblLook w:firstRow="0" w:noVBand="0" w:lastRow="0" w:firstColumn="0" w:lastColumn="0" w:noHBand="0" w:val="0000"/>
      </w:tblPr>
      <w:tblGrid>
        <w:gridCol w:w="2380"/>
        <w:gridCol w:w="6913"/>
      </w:tblGrid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1. Przedmiot zamówienia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Przedmiotem zamówienia jest zorganizowanie i przeprowadzenie 2 jednodniowych spotkań dotyczących rozwoju rodzinnych form pieczy zastępczej oraz placówek opiekuńczo – wychowawczych do 14 dzieci o charakterze edukacyjnym wraz z usługą gastronomiczną oraz przygotowaniem materiałów dydaktycznych.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2. Cel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Celem spotkań jest propagowanie idei rozwoju rodzinnych form pieczy zastępczej, zwiększenie wiedzy lokalnej społeczności na temat potrzeby deinstytucjonalizacji pieczy zastępczej oraz potrzeb dzieci pozbawionych opieki i wychowania w rodzinach naturalnych.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/>
            </w:pPr>
            <w:r>
              <w:rPr>
                <w:rStyle w:val="FontStyle111"/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>3. Grupa docelowa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Spotkania będą adresowane m.in. do rodzin zastępczych, kandydatów do pełnienia funkcji rodzin zastępczych lub prowadzenia rodzinnych domów dziecka, organizacji pozarządowych działających w obszarze wsparcia rodziny i systemu pieczy zastępczej, instytucji wspierających rodziny i dzieci oraz osób zainteresowanych tematyką rodzicielstwa zastępczego.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4. Ramowe założenia spotkań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Wykonawca zobowiązuje się kompleksowo zorganizować 2 spotkania dotyczące rozwoju rodzinnych form pieczy zastępczej oraz placówek opiekuńczo – wychowawczych do 14 dzieci wraz z usługą gastronomiczną oraz przygotowaniem materiałów dydaktycznych z uwzględnieniem następujących ramowych założeń:</w:t>
            </w:r>
          </w:p>
          <w:p>
            <w:pPr>
              <w:pStyle w:val="ListParagraph"/>
              <w:widowControl w:val="false"/>
              <w:numPr>
                <w:ilvl w:val="0"/>
                <w:numId w:val="8"/>
              </w:numPr>
              <w:suppressAutoHyphens w:val="true"/>
              <w:spacing w:lineRule="auto" w:line="240" w:before="0" w:after="0"/>
              <w:ind w:left="1004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spotkania mają charakter edukacyjny w związku z tym mogą mieć formę panelu, wymiany doświadczeń, prezentacji dobrych praktyk z udziałem rodzin zastępczych, wykładu z udziałem eksperta, seminarium edukacyjnego,</w:t>
            </w:r>
          </w:p>
          <w:p>
            <w:pPr>
              <w:pStyle w:val="ListParagraph"/>
              <w:widowControl w:val="false"/>
              <w:numPr>
                <w:ilvl w:val="0"/>
                <w:numId w:val="8"/>
              </w:numPr>
              <w:suppressAutoHyphens w:val="true"/>
              <w:spacing w:lineRule="auto" w:line="240" w:before="0" w:after="0"/>
              <w:ind w:left="1004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spotkania obejmują w szczególności następujące kategorie wydatków:</w:t>
            </w:r>
          </w:p>
          <w:p>
            <w:pPr>
              <w:pStyle w:val="ListParagraph"/>
              <w:widowControl w:val="false"/>
              <w:numPr>
                <w:ilvl w:val="3"/>
                <w:numId w:val="8"/>
              </w:numPr>
              <w:suppressAutoHyphens w:val="true"/>
              <w:spacing w:lineRule="auto" w:line="240" w:before="0" w:after="0"/>
              <w:ind w:left="1377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wynagrodzenie ekspertów/trenerów/wykładowców;</w:t>
            </w:r>
          </w:p>
          <w:p>
            <w:pPr>
              <w:pStyle w:val="ListParagraph"/>
              <w:widowControl w:val="false"/>
              <w:numPr>
                <w:ilvl w:val="3"/>
                <w:numId w:val="8"/>
              </w:numPr>
              <w:suppressAutoHyphens w:val="true"/>
              <w:spacing w:lineRule="auto" w:line="240" w:before="0" w:after="0"/>
              <w:ind w:left="1377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wynajem sal dydaktycznych;</w:t>
            </w:r>
          </w:p>
          <w:p>
            <w:pPr>
              <w:pStyle w:val="ListParagraph"/>
              <w:widowControl w:val="false"/>
              <w:numPr>
                <w:ilvl w:val="3"/>
                <w:numId w:val="8"/>
              </w:numPr>
              <w:suppressAutoHyphens w:val="true"/>
              <w:spacing w:lineRule="auto" w:line="240" w:before="0" w:after="0"/>
              <w:ind w:left="1377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materiały dydaktyczne;</w:t>
            </w:r>
          </w:p>
          <w:p>
            <w:pPr>
              <w:pStyle w:val="ListParagraph"/>
              <w:widowControl w:val="false"/>
              <w:numPr>
                <w:ilvl w:val="3"/>
                <w:numId w:val="8"/>
              </w:numPr>
              <w:suppressAutoHyphens w:val="true"/>
              <w:spacing w:lineRule="auto" w:line="240" w:before="0" w:after="0"/>
              <w:ind w:left="1377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catering</w:t>
            </w:r>
          </w:p>
          <w:p>
            <w:pPr>
              <w:pStyle w:val="ListParagraph"/>
              <w:widowControl w:val="false"/>
              <w:numPr>
                <w:ilvl w:val="3"/>
                <w:numId w:val="8"/>
              </w:numPr>
              <w:suppressAutoHyphens w:val="true"/>
              <w:spacing w:lineRule="auto" w:line="240" w:before="0" w:after="0"/>
              <w:ind w:left="1377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serwis kawowy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5. Termin realizacji usługi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1. Zamawiający wymaga realizacji przedmiotu zamówienia </w:t>
            </w: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do dnia 30  kwietnia 2022r., w tym:</w:t>
            </w:r>
          </w:p>
          <w:p>
            <w:pPr>
              <w:pStyle w:val="ListParagraph"/>
              <w:widowControl w:val="false"/>
              <w:numPr>
                <w:ilvl w:val="0"/>
                <w:numId w:val="11"/>
              </w:numPr>
              <w:suppressAutoHyphens w:val="true"/>
              <w:spacing w:lineRule="auto" w:line="276" w:before="0" w:after="0"/>
              <w:ind w:left="720" w:hanging="360"/>
              <w:contextualSpacing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>1 spotkanie w 2021r. (do 20 grudnia 2021r.)</w:t>
            </w:r>
          </w:p>
          <w:p>
            <w:pPr>
              <w:pStyle w:val="ListParagraph"/>
              <w:widowControl w:val="false"/>
              <w:numPr>
                <w:ilvl w:val="0"/>
                <w:numId w:val="11"/>
              </w:numPr>
              <w:suppressAutoHyphens w:val="true"/>
              <w:spacing w:lineRule="auto" w:line="276" w:before="0" w:after="0"/>
              <w:ind w:left="720" w:hanging="360"/>
              <w:contextualSpacing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 xml:space="preserve">1 spotkanie w 2022r. (od 1 stycznia 2022r. </w:t>
            </w:r>
            <w:r>
              <w:rPr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>d</w:t>
            </w:r>
            <w:r>
              <w:rPr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>o 30 kwietnia 2022r.).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2. Dokładny termin realizacji poszczególnych spotkań po uzgodnieniu z Zamawiającym.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6. Miejsce docelowe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Spotkania zostaną przeprowadzone na terenie powiatu nakielskiego, przy czym dokładne miejsce realizacji poszczególnych spotkań musi zostać uzgodnione z Zamawiającym.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1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7. Liczba uczestników jednego spotkania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17" w:leader="none"/>
              </w:tabs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Max 30 osób, przy czym dopuszcza się udział mniejszej liczby osób.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8. Czas trwania jednego spotkania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Spotkanie winno trwać 6 godzin zegarowych każde.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9. Wykonawca zobowiązuje się do: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zorganizowania i przeprowadzenia spotkań dla uczestników zgodnie z programem;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zapewnienia wykwalifikowanej kadry (</w:t>
            </w:r>
            <w:bookmarkStart w:id="1" w:name="_Hlk493146949"/>
            <w:bookmarkEnd w:id="1"/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ekspertów/trenerów/wykładowców)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sprawowania opieki organizatorskiej na każdym spotkaniu i nad uczestnikami na poszczególnych spotkaniach;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zapewnienia i wydania materiałów dydaktycznych;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jc w:val="both"/>
              <w:rPr/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zapewnienia i wydania posiłków dla uczestników </w:t>
            </w: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zgodnie z zaproponowanym i zaakceptowanym przez Zamawiającego menu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 oraz przeprowadzenia prac porządkowych po spotkaniach;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wydania wszystkim uczestnikom imiennego zaświadczenia o udziale w spotkaniu oraz przekazania kserokopii dokumentów Zamawiającemu;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zapewnienia sal dydaktycznych przystosowanych do prowadzenia zajęć;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wykonania dokumentacji fotograficznej;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przekazania wszystkich niezbędnych dokumentów (w tym sprawozdania) dotyczących realizacji działania określonych i wymaganych przez Zamawiającego.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98" w:leader="none"/>
              </w:tabs>
              <w:suppressAutoHyphens w:val="true"/>
              <w:spacing w:lineRule="auto" w:line="240" w:before="0" w:after="0"/>
              <w:ind w:left="363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zapewnienia odpowiednich warunków związanych z panującą sytuacją epidemiologiczną – 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zgodnie z obowiązującym stanem prawnym.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10. Zadania Zamawiającego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Zamawiający zobowiązuje się do: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spacing w:lineRule="auto" w:line="240" w:before="0" w:after="0"/>
              <w:ind w:left="360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rekrutacji uczestników poszczególnych spotkań,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spacing w:lineRule="auto" w:line="240" w:before="0" w:after="0"/>
              <w:ind w:left="360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dostarczenia Wykonawcy imiennej listy uczestników na każde spotkanie na trzy dni przed jego rozpoczęciem,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spacing w:lineRule="auto" w:line="240" w:before="0" w:after="0"/>
              <w:ind w:left="360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przekazania wzoru listy obecności na spotkania wraz z potwierdzeniem odbioru cateringu i materiałów dydaktycznych.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11. Personel/kadra merytoryczna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Wykonawca zobowiązuje się do zapewnienia podczas każdego spotkania co najmniej 2 ekspertów/</w:t>
            </w: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trenerów/wykładowców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 </w:t>
            </w:r>
            <w:r>
              <w:rPr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>w obszarze wspierania rodziny i systemu pieczy zastępczej posiadających wykształcenie wyższe oraz udokumentowane co najmniej 3 – letnie doświadczenie w pracy z rodziną i/lub dzieckiem lub na rzecz dziecka i/lub rodziny;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12. Harmonogram spotkań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/>
            </w:pPr>
            <w:r>
              <w:rPr>
                <w:rStyle w:val="FontStyle111"/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>Szczegółowy harmonogram uwzględniający ramowe założenia poszczególnych spotkań (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 podaniem m.in. formy spotkania i tematów zajęć prowadzonych przez ekspertów</w:t>
            </w:r>
            <w:r>
              <w:rPr>
                <w:rFonts w:eastAsia="Calibri" w:cs="Calibri" w:ascii="Calibri" w:hAnsi="Calibri"/>
                <w:bCs/>
                <w:color w:val="000000"/>
                <w:sz w:val="20"/>
                <w:szCs w:val="20"/>
                <w:lang w:val="pl-PL" w:eastAsia="zh-CN" w:bidi="ar-SA"/>
              </w:rPr>
              <w:t>/trenerów/wykładowców)</w:t>
            </w:r>
            <w:r>
              <w:rPr>
                <w:rStyle w:val="FontStyle111"/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 xml:space="preserve"> Wykonawca uzgodni z Zamawiającym, p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rzy czym harmonogramy spotkań nie powinny się powtarzać.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13. Materiały dydaktyczne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ListParagraph"/>
              <w:widowControl w:val="false"/>
              <w:tabs>
                <w:tab w:val="clear" w:pos="708"/>
                <w:tab w:val="left" w:pos="284" w:leader="none"/>
              </w:tabs>
              <w:suppressAutoHyphens w:val="true"/>
              <w:spacing w:lineRule="auto" w:line="240" w:before="0" w:after="0"/>
              <w:ind w:left="360" w:hanging="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Wykonawca zobowiązany jest do: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suppressAutoHyphens w:val="true"/>
              <w:spacing w:lineRule="auto" w:line="240" w:before="0" w:after="0"/>
              <w:ind w:left="363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zapewnienia dla każdego uczestnika biorącego udział w spotkaniu oraz dla Zamawiającego kompletu materiałów dydaktycznych, trwale oznakowanych logo przekazanym przez Zamawiającego oraz informacją o oficjalnej stronie internetowej Programu Regionalnego RPO WKP 2014-2020 (według załącznika nr 3 do umowy). Wersje papierowe materiałów muszą być opatrzone: tytułem i datą spotkania, nazwą projektu i organizatora.</w:t>
            </w:r>
          </w:p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363" w:hanging="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Komplet materiałów dydaktycznych będzie zawierał: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suppressAutoHyphens w:val="true"/>
              <w:spacing w:lineRule="auto" w:line="240" w:before="0" w:after="0"/>
              <w:ind w:left="788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harmonogram spotkania;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suppressAutoHyphens w:val="true"/>
              <w:spacing w:lineRule="auto" w:line="240" w:before="0" w:after="0"/>
              <w:ind w:left="788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notes (format A4, min. 20 kartek);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suppressAutoHyphens w:val="true"/>
              <w:spacing w:lineRule="auto" w:line="240" w:before="0" w:after="0"/>
              <w:ind w:left="788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długopis metalowy automatyczny, ze stali nierdzewnej, z chromowanymi wykończeniami;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suppressAutoHyphens w:val="true"/>
              <w:spacing w:lineRule="auto" w:line="240" w:before="0" w:after="0"/>
              <w:ind w:left="788" w:hanging="360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teczka jednokolorowa format A4 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wykonana z przezroczystego, elastycznego, odpornego na pęknięcia tworzywa polipropylenowego.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284" w:leader="none"/>
              </w:tabs>
              <w:suppressAutoHyphens w:val="true"/>
              <w:spacing w:lineRule="auto" w:line="240" w:before="0" w:after="0"/>
              <w:ind w:left="360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Wszystkie materiały dydaktyczne wymagają ostatecznej akceptacji Zamawiającego przed ich wykonaniem (materiały do akceptacji co najmniej tydzień przed planowanym spotkaniem).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284" w:leader="none"/>
              </w:tabs>
              <w:suppressAutoHyphens w:val="true"/>
              <w:spacing w:lineRule="auto" w:line="240" w:before="0" w:after="0"/>
              <w:ind w:left="360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Odbiór materiałów dydaktycznych musi być potwierdzony przez uczestnika własnoręcznym podpisem.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284" w:leader="none"/>
              </w:tabs>
              <w:suppressAutoHyphens w:val="true"/>
              <w:spacing w:lineRule="auto" w:line="240" w:before="0" w:after="0"/>
              <w:ind w:left="360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Koszty opracowania, transportu i powielenia materiałów ponosi Wykonawca.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14. Dokumentacja fotograficzna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84" w:leader="none"/>
              </w:tabs>
              <w:suppressAutoHyphens w:val="true"/>
              <w:spacing w:lineRule="auto" w:line="240" w:before="0" w:after="0"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Wykonawca zobowiązuje się prowadzić fotograficzną dokumentację przebiegu działań realizowanych w ramach projektu aparatem cyfrowym – minimum 10 zdjęć dobrej jakości po każdym spotkaniu. Materiał fotograficzny Wykonawca przekaże Zamawiającemu niezwłocznie po zakończeniu działania drogą elektroniczną oraz na nośniku CD/DVD w przeciągu 7 dni po każdym spotkaniu.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15. Miejsce realizacji spotkania/sale dydaktyczne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243" w:hanging="243"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1. Sale dydaktyczne, z oknami zapewniającymi światło dzienne i wietrzenie -  klimatyzowane, w sezonie grzewczym odpowiednio ogrzane z możliwością indywidualnej aranżacji wyposażone w: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miejsca siedzące dla wszystkich uczestników spotkania (krzesła tapicerowane);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dostęp do bezprzewodowego Internetu;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flipchart, papier do flipcharta, komplet markerów;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tablica suchościeralna z kompletem pisaków;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sprzęt do prezentacji (ekran, rzutnik multimedialny);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laptop;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nagłośnienie;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mikrofon bezprzewodowy;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zaplecze sanitarne;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suppressAutoHyphens w:val="true"/>
              <w:spacing w:lineRule="auto" w:line="240" w:before="0" w:after="0"/>
              <w:ind w:left="646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wieszaki na odzież wierzchnią.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2. Lokal zapewniający b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ezpieczne i higieniczne warunki udziału w spotkaniu, w szczególności w obiekcie lub na terenie spełniającym wymagania ochrony przeciwpożarowej, ochrony środowiska oraz warunki higieniczno-sanitarne, określone w przepisach o ochronie przeciwpożarowej, ochronie środowiska i Państwowej Inspekcji Sanitarnej.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3. Lokal dostosowany do potrzeb osób z niepełnosprawnością.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16. Usługa gastronomiczna dla wszystkich uczestników spotkania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243" w:hanging="243"/>
              <w:jc w:val="both"/>
              <w:rPr/>
            </w:pPr>
            <w:r>
              <w:rPr>
                <w:rStyle w:val="FontStyle111"/>
                <w:rFonts w:eastAsia="Calibri" w:cs="Calibri" w:ascii="Calibri" w:hAnsi="Calibri"/>
                <w:sz w:val="20"/>
                <w:szCs w:val="20"/>
                <w:lang w:val="pl-PL" w:eastAsia="zh-CN" w:bidi="ar-SA"/>
              </w:rPr>
              <w:t>1. Wykonawca zapewni usługę gastronomiczną podczas każdego spotkania dla wszystkich uczestników składającą się z:</w:t>
            </w:r>
          </w:p>
          <w:p>
            <w:pPr>
              <w:pStyle w:val="ListParagraph"/>
              <w:widowControl w:val="false"/>
              <w:numPr>
                <w:ilvl w:val="0"/>
                <w:numId w:val="9"/>
              </w:numPr>
              <w:suppressAutoHyphens w:val="true"/>
              <w:spacing w:lineRule="auto" w:line="240" w:before="0" w:after="0"/>
              <w:ind w:left="526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jednej przerwy kawowej, w tym:</w:t>
            </w:r>
          </w:p>
          <w:p>
            <w:pPr>
              <w:pStyle w:val="ListParagraph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810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kawa czarna z ekspresu i/lub w termosach,</w:t>
            </w:r>
          </w:p>
          <w:p>
            <w:pPr>
              <w:pStyle w:val="ListParagraph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810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herbata czarna oraz wrzątek w termosach,</w:t>
            </w:r>
          </w:p>
          <w:p>
            <w:pPr>
              <w:pStyle w:val="ListParagraph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810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woda mineralna gazowana, niegazowana w butelkach  - 0,5 litra na osobę,</w:t>
            </w:r>
          </w:p>
          <w:p>
            <w:pPr>
              <w:pStyle w:val="ListParagraph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810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soki (dwa rodzaje) po 0,3 l na osobę,</w:t>
            </w:r>
          </w:p>
          <w:p>
            <w:pPr>
              <w:pStyle w:val="ListParagraph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810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cukier, śmietanka do kawy, cytryna,</w:t>
            </w:r>
          </w:p>
          <w:p>
            <w:pPr>
              <w:pStyle w:val="ListParagraph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810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owoce (3 rodzaje),</w:t>
            </w:r>
          </w:p>
          <w:p>
            <w:pPr>
              <w:pStyle w:val="ListParagraph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810" w:hanging="357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dwa rodzaje ciasta – po dwa kawałki na osobę (1 kawałek 150 gram).</w:t>
            </w:r>
          </w:p>
          <w:p>
            <w:pPr>
              <w:pStyle w:val="ListParagraph"/>
              <w:widowControl w:val="false"/>
              <w:numPr>
                <w:ilvl w:val="0"/>
                <w:numId w:val="9"/>
              </w:numPr>
              <w:suppressAutoHyphens w:val="true"/>
              <w:spacing w:lineRule="auto" w:line="240" w:before="0" w:after="0"/>
              <w:ind w:left="526" w:hanging="357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jednego obiadu, w tym każdy obiad obejmuje: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1094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zupę 300 ml każda porcja (dwa rodzaje);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1094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mięso lub ryba na ciepło - 150 gram każda porcja (trzy rodzaje do wyboru);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1094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zestaw surówek ze świeżych i/lub gotowanych warzyw  – 150 gram każda porcja (trzy rodzaje);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1094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do dania głównego podane zostaną dodatki (ziemniaki, kasza, ryż, lub frytki) – 200g;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1094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soki owocowe 0.3 l jedna porcja,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uppressAutoHyphens w:val="true"/>
              <w:spacing w:lineRule="auto" w:line="240" w:before="0" w:after="0"/>
              <w:ind w:left="1094" w:hanging="360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wodę mineralną 0.3 l jedna porcja.</w:t>
            </w:r>
          </w:p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243" w:hanging="243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2. Wykonawca zobowiązuje się do przygotowania odpowiedniej liczby zastawy  adekwatnej do posiłku z wyłączeniem naczyń jednorazowego użytku,</w:t>
            </w:r>
          </w:p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243" w:hanging="243"/>
              <w:contextualSpacing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3. Posiłki winny posiadać odpowiednie walory smakowe i zapachowe oraz estetyczny wygląd. Wykonawca przy oferowaniu posiłków powinien stosować świeże produkty spożywcze.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243" w:hanging="243"/>
              <w:jc w:val="both"/>
              <w:rPr/>
            </w:pPr>
            <w:r>
              <w:rPr>
                <w:rStyle w:val="FontStyle111"/>
                <w:rFonts w:eastAsia="Times New Roman" w:cs="Calibri" w:ascii="Calibri" w:hAnsi="Calibri"/>
                <w:sz w:val="20"/>
                <w:szCs w:val="20"/>
                <w:lang w:val="pl-PL" w:eastAsia="zh-CN" w:bidi="ar-SA"/>
              </w:rPr>
              <w:t>4. Wykonawca zobowiązany jest do dostarczenia potraw i napojów, zgodnie z zaproponowanym i zaakceptowanym przez Zamawiającego menu oraz zobowiązany jest do zapewnienia zaplecza technicznego i obsługi potrzebnej do sprawnego przeprowadzenia usługi gastronomicznej, z uwzględnieniem wszelkich prac porządkowych po zakończeniu spotkań.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17. Sprawozdanie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10"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Wykonawca jest zobowiązany do sporządzenia sprawozdania (załącznik nr 6 do umowy) z każdego spotkania i przekazania go Zamawiającemu wraz z załącznikami:</w:t>
            </w:r>
          </w:p>
          <w:p>
            <w:pPr>
              <w:pStyle w:val="ListParagraph"/>
              <w:widowControl w:val="false"/>
              <w:numPr>
                <w:ilvl w:val="0"/>
                <w:numId w:val="7"/>
              </w:numPr>
              <w:suppressAutoHyphens w:val="true"/>
              <w:spacing w:lineRule="auto" w:line="240" w:before="0" w:after="0"/>
              <w:ind w:left="668" w:hanging="283"/>
              <w:contextualSpacing/>
              <w:jc w:val="both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faktura,</w:t>
            </w:r>
          </w:p>
          <w:p>
            <w:pPr>
              <w:pStyle w:val="ListParagraph"/>
              <w:widowControl w:val="false"/>
              <w:numPr>
                <w:ilvl w:val="0"/>
                <w:numId w:val="7"/>
              </w:numPr>
              <w:suppressAutoHyphens w:val="true"/>
              <w:spacing w:lineRule="auto" w:line="240" w:before="0" w:after="0"/>
              <w:ind w:left="668" w:hanging="283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 xml:space="preserve">lista obecności uczestników 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wraz z potwierdzeniem odbioru cateringu i materiałów dydaktycznych,</w:t>
            </w:r>
          </w:p>
          <w:p>
            <w:pPr>
              <w:pStyle w:val="ListParagraph"/>
              <w:widowControl w:val="false"/>
              <w:numPr>
                <w:ilvl w:val="0"/>
                <w:numId w:val="7"/>
              </w:numPr>
              <w:suppressAutoHyphens w:val="true"/>
              <w:spacing w:lineRule="auto" w:line="240" w:before="0" w:after="0"/>
              <w:ind w:left="668" w:hanging="283"/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komplet materiałów dydaktycznych,</w:t>
            </w:r>
          </w:p>
          <w:p>
            <w:pPr>
              <w:pStyle w:val="ListParagraph"/>
              <w:widowControl w:val="false"/>
              <w:numPr>
                <w:ilvl w:val="0"/>
                <w:numId w:val="7"/>
              </w:numPr>
              <w:suppressAutoHyphens w:val="true"/>
              <w:spacing w:lineRule="auto" w:line="240" w:before="0" w:after="0"/>
              <w:ind w:left="668" w:hanging="283"/>
              <w:contextualSpacing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  <w:lang w:val="pl-PL" w:eastAsia="zh-CN" w:bidi="ar-SA"/>
              </w:rPr>
              <w:t>kserokopie imiennych zaświadczeń dla uczestników spotkania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18. Wykonawca - wymagania ogólne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/>
            <w:vAlign w:val="cente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1108" w:leader="none"/>
              </w:tabs>
              <w:suppressAutoHyphens w:val="true"/>
              <w:spacing w:lineRule="auto" w:line="240" w:before="0" w:after="0"/>
              <w:ind w:left="360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Wymagana jest należyta staranność przy realizacji zamówienia oraz zorientowanie na osiągnięcie celu.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1108" w:leader="none"/>
              </w:tabs>
              <w:suppressAutoHyphens w:val="true"/>
              <w:spacing w:lineRule="auto" w:line="240" w:before="0" w:after="0"/>
              <w:ind w:left="360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Dokładne ustalenia i decyzje dotyczące realizacji zamówienia (takie jak szczegółowy harmonogram itp.) uzgadniane będą pomiędzy Zamawiającym a Wykonawcą.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1108" w:leader="none"/>
              </w:tabs>
              <w:suppressAutoHyphens w:val="true"/>
              <w:spacing w:lineRule="auto" w:line="240" w:before="0" w:after="0"/>
              <w:ind w:left="360" w:hanging="36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Wykonawcy określą telefony kontaktowe i adresy e-mail w celu dokonywania innych ustaleń niezbędnych dla sprawnego i terminowego wykonania zamówienia.</w:t>
            </w:r>
          </w:p>
        </w:tc>
      </w:tr>
      <w:tr>
        <w:trPr/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>
              <w:rPr>
                <w:rFonts w:eastAsia="Times New Roman" w:cs="Calibri" w:ascii="Calibri" w:hAnsi="Calibri"/>
                <w:color w:val="000000"/>
                <w:sz w:val="20"/>
                <w:szCs w:val="20"/>
                <w:lang w:val="pl-PL" w:eastAsia="zh-CN" w:bidi="ar-SA"/>
              </w:rPr>
              <w:t>19. Działania kontrolne</w:t>
            </w:r>
          </w:p>
        </w:tc>
        <w:tc>
          <w:tcPr>
            <w:tcW w:w="6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1108" w:leader="none"/>
              </w:tabs>
              <w:suppressAutoHyphens w:val="true"/>
              <w:spacing w:lineRule="auto" w:line="240" w:before="0" w:after="0"/>
              <w:jc w:val="both"/>
              <w:rPr/>
            </w:pPr>
            <w:r>
              <w:rPr>
                <w:rStyle w:val="FontStyle111"/>
                <w:rFonts w:eastAsia="Calibri" w:cs="Times New Roman" w:ascii="Calibri" w:hAnsi="Calibri"/>
                <w:sz w:val="20"/>
                <w:szCs w:val="20"/>
                <w:lang w:val="pl-PL" w:eastAsia="zh-CN" w:bidi="ar-SA"/>
              </w:rPr>
              <w:t>Zamawiający ma prawo w każdym momencie trwania spotkań do przeprowadzenia kontroli realizacji przedmiotu zamówienia.</w:t>
            </w:r>
          </w:p>
        </w:tc>
      </w:tr>
    </w:tbl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0" w:top="1417" w:footer="408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pBdr>
        <w:top w:val="single" w:sz="4" w:space="1" w:color="000000"/>
      </w:pBdr>
      <w:tabs>
        <w:tab w:val="clear" w:pos="9072"/>
        <w:tab w:val="center" w:pos="4536" w:leader="none"/>
      </w:tabs>
      <w:spacing w:before="0" w:after="0"/>
      <w:ind w:left="-1134" w:right="-1134" w:hanging="0"/>
      <w:jc w:val="center"/>
      <w:rPr>
        <w:rFonts w:cs="Calibri"/>
        <w:sz w:val="18"/>
        <w:szCs w:val="18"/>
      </w:rPr>
    </w:pPr>
    <w:r>
      <w:rPr>
        <w:rFonts w:cs="Calibri"/>
        <w:sz w:val="18"/>
        <w:szCs w:val="18"/>
      </w:rPr>
      <w:t>Projekt współfinansowany ze środków Europejskiego Funduszu Społecznego</w:t>
    </w:r>
  </w:p>
  <w:p>
    <w:pPr>
      <w:pStyle w:val="Stopka"/>
      <w:pBdr>
        <w:top w:val="single" w:sz="4" w:space="1" w:color="000000"/>
      </w:pBdr>
      <w:tabs>
        <w:tab w:val="clear" w:pos="9072"/>
        <w:tab w:val="center" w:pos="4536" w:leader="none"/>
      </w:tabs>
      <w:spacing w:before="0" w:after="0"/>
      <w:ind w:left="-1134" w:right="-1134" w:hanging="0"/>
      <w:jc w:val="center"/>
      <w:rPr>
        <w:rFonts w:cs="Calibri"/>
        <w:sz w:val="18"/>
        <w:szCs w:val="18"/>
      </w:rPr>
    </w:pPr>
    <w:r>
      <w:rPr>
        <w:rFonts w:cs="Calibri"/>
        <w:sz w:val="18"/>
        <w:szCs w:val="18"/>
      </w:rPr>
      <w:t>w ramach Regionalnego Programu Operacyjnego Województwa Kujawsko - Pomorskiego na lata 2014 - 2020,</w:t>
    </w:r>
  </w:p>
  <w:p>
    <w:pPr>
      <w:pStyle w:val="Stopka"/>
      <w:pBdr>
        <w:top w:val="single" w:sz="4" w:space="1" w:color="000000"/>
      </w:pBdr>
      <w:tabs>
        <w:tab w:val="clear" w:pos="9072"/>
        <w:tab w:val="center" w:pos="4536" w:leader="none"/>
      </w:tabs>
      <w:spacing w:before="0" w:after="0"/>
      <w:ind w:left="-1134" w:right="-1134" w:hanging="0"/>
      <w:jc w:val="center"/>
      <w:rPr>
        <w:rFonts w:cs="Calibri"/>
        <w:sz w:val="18"/>
        <w:szCs w:val="18"/>
      </w:rPr>
    </w:pPr>
    <w:r>
      <w:rPr>
        <w:rFonts w:cs="Calibri"/>
        <w:sz w:val="18"/>
        <w:szCs w:val="18"/>
      </w:rPr>
      <w:t>Oś priorytetowa 9  Solidarne społeczeństwo, Działanie 9.3 Rozwój usług zdrowotnych i społecznych, Poddziałanie 9.3.2 Rozwój usług społecznych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before="0" w:after="20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8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337185" cy="203200"/>
              <wp:effectExtent l="0" t="0" r="0" b="0"/>
              <wp:wrapNone/>
              <wp:docPr id="1" name="Prostokąt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6600" cy="2026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opka"/>
                            <w:spacing w:before="0" w:after="200"/>
                            <w:rPr>
                              <w:rFonts w:eastAsia="Basic Roman" w:cs="Calibr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eastAsia="Basic Roman" w:cs="Calibri"/>
                              <w:color w:val="000000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lIns="45720" rIns="45720" tIns="91440" bIns="91440" anchor="ctr" vert="vert270" upright="1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rostokąt 8" path="m0,0l-2147483645,0l-2147483645,-2147483646l0,-2147483646xe" stroked="f" style="position:absolute;margin-left:22.15pt;margin-top:695pt;width:26.45pt;height:15.9pt;mso-wrap-style:none;v-text-anchor:middle;mso-position-horizontal:center;mso-position-horizontal-relative:page;mso-position-vertical:bottom;mso-position-vertical-relative:margin">
              <v:fill o:detectmouseclick="t" on="false"/>
              <v:stroke color="#3465a4" joinstyle="round" endcap="flat"/>
              <v:textbox style="mso-layout-flow-alt:bottom-to-top">
                <w:txbxContent>
                  <w:p>
                    <w:pPr>
                      <w:pStyle w:val="Stopka"/>
                      <w:spacing w:before="0" w:after="200"/>
                      <w:rPr>
                        <w:rFonts w:eastAsia="Basic Roman" w:cs="Calibri"/>
                        <w:sz w:val="20"/>
                        <w:szCs w:val="20"/>
                      </w:rPr>
                    </w:pPr>
                    <w:r>
                      <w:rPr>
                        <w:rFonts w:eastAsia="Basic Roman" w:cs="Calibri"/>
                        <w:color w:val="000000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  <w:drawing>
        <wp:anchor behindDoc="1" distT="0" distB="0" distL="114300" distR="114300" simplePos="0" locked="0" layoutInCell="0" allowOverlap="1" relativeHeight="13">
          <wp:simplePos x="0" y="0"/>
          <wp:positionH relativeFrom="margin">
            <wp:posOffset>-342900</wp:posOffset>
          </wp:positionH>
          <wp:positionV relativeFrom="paragraph">
            <wp:posOffset>190500</wp:posOffset>
          </wp:positionV>
          <wp:extent cx="6447790" cy="709295"/>
          <wp:effectExtent l="0" t="0" r="0" b="0"/>
          <wp:wrapTopAndBottom/>
          <wp:docPr id="3" name="Obraz 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47790" cy="709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1980" w:hanging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140" w:hanging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30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0"/>
        <w:szCs w:val="2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0"/>
        <w:szCs w:val="2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hanging="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hanging="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hanging="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hanging="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1620" w:hanging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3780" w:hanging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5940" w:hanging="0"/>
      </w:pPr>
    </w:lvl>
  </w:abstractNum>
  <w:abstractNum w:abstractNumId="5">
    <w:lvl w:ilvl="0">
      <w:start w:val="1"/>
      <w:numFmt w:val="lowerLetter"/>
      <w:lvlText w:val="%1."/>
      <w:lvlJc w:val="left"/>
      <w:pPr>
        <w:tabs>
          <w:tab w:val="num" w:pos="0"/>
        </w:tabs>
        <w:ind w:left="0" w:hanging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1620" w:hanging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3780" w:hanging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5940" w:hanging="0"/>
      </w:p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30" w:hanging="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50" w:hanging="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70" w:hanging="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90" w:hanging="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10" w:hanging="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30" w:hanging="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50" w:hanging="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70" w:hanging="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90" w:hanging="0"/>
      </w:pPr>
      <w:rPr>
        <w:rFonts w:ascii="Wingdings" w:hAnsi="Wingdings" w:cs="Wingdings" w:hint="default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370" w:hanging="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090" w:hanging="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1810" w:hanging="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30" w:hanging="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250" w:hanging="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3970" w:hanging="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690" w:hanging="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410" w:hanging="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130" w:hanging="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64" w:hanging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264" w:hanging="0"/>
      </w:pPr>
    </w:lvl>
    <w:lvl w:ilvl="3">
      <w:start w:val="0"/>
      <w:numFmt w:val="bullet"/>
      <w:lvlText w:val=""/>
      <w:lvlJc w:val="left"/>
      <w:pPr>
        <w:tabs>
          <w:tab w:val="num" w:pos="0"/>
        </w:tabs>
        <w:ind w:left="2804" w:hanging="0"/>
      </w:pPr>
      <w:rPr>
        <w:rFonts w:ascii="Symbol" w:hAnsi="Symbol" w:cs="Symbol" w:hint="default"/>
        <w:b w:val="fals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424" w:hanging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584" w:hanging="0"/>
      </w:pPr>
    </w:lvl>
  </w:abstractNum>
  <w:abstractNum w:abstractNumId="9">
    <w:lvl w:ilvl="0">
      <w:start w:val="1"/>
      <w:numFmt w:val="lowerLetter"/>
      <w:lvlText w:val="%1."/>
      <w:lvlJc w:val="left"/>
      <w:pPr>
        <w:tabs>
          <w:tab w:val="num" w:pos="0"/>
        </w:tabs>
        <w:ind w:left="360" w:hanging="0"/>
      </w:pPr>
    </w:lvl>
    <w:lvl w:ilvl="1">
      <w:start w:val="0"/>
      <w:numFmt w:val="bullet"/>
      <w:lvlText w:val="o"/>
      <w:lvlJc w:val="left"/>
      <w:pPr>
        <w:tabs>
          <w:tab w:val="num" w:pos="0"/>
        </w:tabs>
        <w:ind w:left="1080" w:hanging="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1800" w:hanging="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20" w:hanging="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240" w:hanging="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3960" w:hanging="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680" w:hanging="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400" w:hanging="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120" w:hanging="0"/>
      </w:pPr>
      <w:rPr>
        <w:rFonts w:ascii="Wingdings" w:hAnsi="Wingdings" w:cs="Wingdings" w:hint="default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360" w:hanging="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080" w:hanging="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1800" w:hanging="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20" w:hanging="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240" w:hanging="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3960" w:hanging="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680" w:hanging="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400" w:hanging="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120" w:hanging="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lowerLetter"/>
      <w:lvlText w:val="%1."/>
      <w:lvlJc w:val="left"/>
      <w:pPr>
        <w:tabs>
          <w:tab w:val="num" w:pos="0"/>
        </w:tabs>
        <w:ind w:left="360" w:hanging="0"/>
      </w:pPr>
    </w:lvl>
    <w:lvl w:ilvl="1">
      <w:start w:val="0"/>
      <w:numFmt w:val="bullet"/>
      <w:lvlText w:val="o"/>
      <w:lvlJc w:val="left"/>
      <w:pPr>
        <w:tabs>
          <w:tab w:val="num" w:pos="0"/>
        </w:tabs>
        <w:ind w:left="1080" w:hanging="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1800" w:hanging="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20" w:hanging="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240" w:hanging="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3960" w:hanging="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680" w:hanging="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400" w:hanging="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120" w:hanging="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Basic Roman"/>
        <w:sz w:val="22"/>
        <w:szCs w:val="22"/>
        <w:lang w:val="pl-PL" w:eastAsia="zh-CN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uiPriority="10" w:semiHidden="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uiPriority="11" w:semiHidden="0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uiPriority="22" w:semiHidden="0" w:unhideWhenUsed="0" w:qFormat="1"/>
    <w:lsdException w:name="Emphasis" w:uiPriority="20" w:semiHidden="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59" w:semiHidden="0" w:unhideWhenUsed="0"/>
    <w:lsdException w:name="Table Theme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  <w:lsdException w:name="Plain Table 1" w:uiPriority="41" w:semiHidden="0" w:unhideWhenUsed="0"/>
    <w:lsdException w:name="Plain Table 2" w:uiPriority="42" w:semiHidden="0" w:unhideWhenUsed="0"/>
    <w:lsdException w:name="Plain Table 3" w:uiPriority="43" w:semiHidden="0" w:unhideWhenUsed="0"/>
    <w:lsdException w:name="Plain Table 4" w:uiPriority="44" w:semiHidden="0" w:unhideWhenUsed="0"/>
    <w:lsdException w:name="Plain Table 5" w:uiPriority="45" w:semiHidden="0" w:unhideWhenUsed="0"/>
    <w:lsdException w:name="Grid Table Light" w:uiPriority="40" w:semiHidden="0" w:unhideWhenUsed="0"/>
    <w:lsdException w:name="Grid Table 1 Light" w:uiPriority="46" w:semiHidden="0" w:unhideWhenUsed="0"/>
    <w:lsdException w:name="Grid Table 2" w:uiPriority="47" w:semiHidden="0" w:unhideWhenUsed="0"/>
    <w:lsdException w:name="Grid Table 3" w:uiPriority="48" w:semiHidden="0" w:unhideWhenUsed="0"/>
    <w:lsdException w:name="Grid Table 4" w:uiPriority="49" w:semiHidden="0" w:unhideWhenUsed="0"/>
    <w:lsdException w:name="Grid Table 5 Dark" w:uiPriority="50" w:semiHidden="0" w:unhideWhenUsed="0"/>
    <w:lsdException w:name="Grid Table 6 Colorful" w:uiPriority="51" w:semiHidden="0" w:unhideWhenUsed="0"/>
    <w:lsdException w:name="Grid Table 7 Colorful" w:uiPriority="52" w:semiHidden="0" w:unhideWhenUsed="0"/>
    <w:lsdException w:name="Grid Table 1 Light Accent 1" w:uiPriority="46" w:semiHidden="0" w:unhideWhenUsed="0"/>
    <w:lsdException w:name="Grid Table 2 Accent 1" w:uiPriority="47" w:semiHidden="0" w:unhideWhenUsed="0"/>
    <w:lsdException w:name="Grid Table 3 Accent 1" w:uiPriority="48" w:semiHidden="0" w:unhideWhenUsed="0"/>
    <w:lsdException w:name="Grid Table 4 Accent 1" w:uiPriority="49" w:semiHidden="0" w:unhideWhenUsed="0"/>
    <w:lsdException w:name="Grid Table 5 Dark Accent 1" w:uiPriority="50" w:semiHidden="0" w:unhideWhenUsed="0"/>
    <w:lsdException w:name="Grid Table 6 Colorful Accent 1" w:uiPriority="51" w:semiHidden="0" w:unhideWhenUsed="0"/>
    <w:lsdException w:name="Grid Table 7 Colorful Accent 1" w:uiPriority="52" w:semiHidden="0" w:unhideWhenUsed="0"/>
    <w:lsdException w:name="Grid Table 1 Light Accent 2" w:uiPriority="46" w:semiHidden="0" w:unhideWhenUsed="0"/>
    <w:lsdException w:name="Grid Table 2 Accent 2" w:uiPriority="47" w:semiHidden="0" w:unhideWhenUsed="0"/>
    <w:lsdException w:name="Grid Table 3 Accent 2" w:uiPriority="48" w:semiHidden="0" w:unhideWhenUsed="0"/>
    <w:lsdException w:name="Grid Table 4 Accent 2" w:uiPriority="49" w:semiHidden="0" w:unhideWhenUsed="0"/>
    <w:lsdException w:name="Grid Table 5 Dark Accent 2" w:uiPriority="50" w:semiHidden="0" w:unhideWhenUsed="0"/>
    <w:lsdException w:name="Grid Table 6 Colorful Accent 2" w:uiPriority="51" w:semiHidden="0" w:unhideWhenUsed="0"/>
    <w:lsdException w:name="Grid Table 7 Colorful Accent 2" w:uiPriority="52" w:semiHidden="0" w:unhideWhenUsed="0"/>
    <w:lsdException w:name="Grid Table 1 Light Accent 3" w:uiPriority="46" w:semiHidden="0" w:unhideWhenUsed="0"/>
    <w:lsdException w:name="Grid Table 2 Accent 3" w:uiPriority="47" w:semiHidden="0" w:unhideWhenUsed="0"/>
    <w:lsdException w:name="Grid Table 3 Accent 3" w:uiPriority="48" w:semiHidden="0" w:unhideWhenUsed="0"/>
    <w:lsdException w:name="Grid Table 4 Accent 3" w:uiPriority="49" w:semiHidden="0" w:unhideWhenUsed="0"/>
    <w:lsdException w:name="Grid Table 5 Dark Accent 3" w:uiPriority="50" w:semiHidden="0" w:unhideWhenUsed="0"/>
    <w:lsdException w:name="Grid Table 6 Colorful Accent 3" w:uiPriority="51" w:semiHidden="0" w:unhideWhenUsed="0"/>
    <w:lsdException w:name="Grid Table 7 Colorful Accent 3" w:uiPriority="52" w:semiHidden="0" w:unhideWhenUsed="0"/>
    <w:lsdException w:name="Grid Table 1 Light Accent 4" w:uiPriority="46" w:semiHidden="0" w:unhideWhenUsed="0"/>
    <w:lsdException w:name="Grid Table 2 Accent 4" w:uiPriority="47" w:semiHidden="0" w:unhideWhenUsed="0"/>
    <w:lsdException w:name="Grid Table 3 Accent 4" w:uiPriority="48" w:semiHidden="0" w:unhideWhenUsed="0"/>
    <w:lsdException w:name="Grid Table 4 Accent 4" w:uiPriority="49" w:semiHidden="0" w:unhideWhenUsed="0"/>
    <w:lsdException w:name="Grid Table 5 Dark Accent 4" w:uiPriority="50" w:semiHidden="0" w:unhideWhenUsed="0"/>
    <w:lsdException w:name="Grid Table 6 Colorful Accent 4" w:uiPriority="51" w:semiHidden="0" w:unhideWhenUsed="0"/>
    <w:lsdException w:name="Grid Table 7 Colorful Accent 4" w:uiPriority="52" w:semiHidden="0" w:unhideWhenUsed="0"/>
    <w:lsdException w:name="Grid Table 1 Light Accent 5" w:uiPriority="46" w:semiHidden="0" w:unhideWhenUsed="0"/>
    <w:lsdException w:name="Grid Table 2 Accent 5" w:uiPriority="47" w:semiHidden="0" w:unhideWhenUsed="0"/>
    <w:lsdException w:name="Grid Table 3 Accent 5" w:uiPriority="48" w:semiHidden="0" w:unhideWhenUsed="0"/>
    <w:lsdException w:name="Grid Table 4 Accent 5" w:uiPriority="49" w:semiHidden="0" w:unhideWhenUsed="0"/>
    <w:lsdException w:name="Grid Table 5 Dark Accent 5" w:uiPriority="50" w:semiHidden="0" w:unhideWhenUsed="0"/>
    <w:lsdException w:name="Grid Table 6 Colorful Accent 5" w:uiPriority="51" w:semiHidden="0" w:unhideWhenUsed="0"/>
    <w:lsdException w:name="Grid Table 7 Colorful Accent 5" w:uiPriority="52" w:semiHidden="0" w:unhideWhenUsed="0"/>
    <w:lsdException w:name="Grid Table 1 Light Accent 6" w:uiPriority="46" w:semiHidden="0" w:unhideWhenUsed="0"/>
    <w:lsdException w:name="Grid Table 2 Accent 6" w:uiPriority="47" w:semiHidden="0" w:unhideWhenUsed="0"/>
    <w:lsdException w:name="Grid Table 3 Accent 6" w:uiPriority="48" w:semiHidden="0" w:unhideWhenUsed="0"/>
    <w:lsdException w:name="Grid Table 4 Accent 6" w:uiPriority="49" w:semiHidden="0" w:unhideWhenUsed="0"/>
    <w:lsdException w:name="Grid Table 5 Dark Accent 6" w:uiPriority="50" w:semiHidden="0" w:unhideWhenUsed="0"/>
    <w:lsdException w:name="Grid Table 6 Colorful Accent 6" w:uiPriority="51" w:semiHidden="0" w:unhideWhenUsed="0"/>
    <w:lsdException w:name="Grid Table 7 Colorful Accent 6" w:uiPriority="52" w:semiHidden="0" w:unhideWhenUsed="0"/>
    <w:lsdException w:name="List Table 1 Light" w:uiPriority="46" w:semiHidden="0" w:unhideWhenUsed="0"/>
    <w:lsdException w:name="List Table 2" w:uiPriority="47" w:semiHidden="0" w:unhideWhenUsed="0"/>
    <w:lsdException w:name="List Table 3" w:uiPriority="48" w:semiHidden="0" w:unhideWhenUsed="0"/>
    <w:lsdException w:name="List Table 4" w:uiPriority="49" w:semiHidden="0" w:unhideWhenUsed="0"/>
    <w:lsdException w:name="List Table 5 Dark" w:uiPriority="50" w:semiHidden="0" w:unhideWhenUsed="0"/>
    <w:lsdException w:name="List Table 6 Colorful" w:uiPriority="51" w:semiHidden="0" w:unhideWhenUsed="0"/>
    <w:lsdException w:name="List Table 7 Colorful" w:uiPriority="52" w:semiHidden="0" w:unhideWhenUsed="0"/>
    <w:lsdException w:name="List Table 1 Light Accent 1" w:uiPriority="46" w:semiHidden="0" w:unhideWhenUsed="0"/>
    <w:lsdException w:name="List Table 2 Accent 1" w:uiPriority="47" w:semiHidden="0" w:unhideWhenUsed="0"/>
    <w:lsdException w:name="List Table 3 Accent 1" w:uiPriority="48" w:semiHidden="0" w:unhideWhenUsed="0"/>
    <w:lsdException w:name="List Table 4 Accent 1" w:uiPriority="49" w:semiHidden="0" w:unhideWhenUsed="0"/>
    <w:lsdException w:name="List Table 5 Dark Accent 1" w:uiPriority="50" w:semiHidden="0" w:unhideWhenUsed="0"/>
    <w:lsdException w:name="List Table 6 Colorful Accent 1" w:uiPriority="51" w:semiHidden="0" w:unhideWhenUsed="0"/>
    <w:lsdException w:name="List Table 7 Colorful Accent 1" w:uiPriority="52" w:semiHidden="0" w:unhideWhenUsed="0"/>
    <w:lsdException w:name="List Table 1 Light Accent 2" w:uiPriority="46" w:semiHidden="0" w:unhideWhenUsed="0"/>
    <w:lsdException w:name="List Table 2 Accent 2" w:uiPriority="47" w:semiHidden="0" w:unhideWhenUsed="0"/>
    <w:lsdException w:name="List Table 3 Accent 2" w:uiPriority="48" w:semiHidden="0" w:unhideWhenUsed="0"/>
    <w:lsdException w:name="List Table 4 Accent 2" w:uiPriority="49" w:semiHidden="0" w:unhideWhenUsed="0"/>
    <w:lsdException w:name="List Table 5 Dark Accent 2" w:uiPriority="50" w:semiHidden="0" w:unhideWhenUsed="0"/>
    <w:lsdException w:name="List Table 6 Colorful Accent 2" w:uiPriority="51" w:semiHidden="0" w:unhideWhenUsed="0"/>
    <w:lsdException w:name="List Table 7 Colorful Accent 2" w:uiPriority="52" w:semiHidden="0" w:unhideWhenUsed="0"/>
    <w:lsdException w:name="List Table 1 Light Accent 3" w:uiPriority="46" w:semiHidden="0" w:unhideWhenUsed="0"/>
    <w:lsdException w:name="List Table 2 Accent 3" w:uiPriority="47" w:semiHidden="0" w:unhideWhenUsed="0"/>
    <w:lsdException w:name="List Table 3 Accent 3" w:uiPriority="48" w:semiHidden="0" w:unhideWhenUsed="0"/>
    <w:lsdException w:name="List Table 4 Accent 3" w:uiPriority="49" w:semiHidden="0" w:unhideWhenUsed="0"/>
    <w:lsdException w:name="List Table 5 Dark Accent 3" w:uiPriority="50" w:semiHidden="0" w:unhideWhenUsed="0"/>
    <w:lsdException w:name="List Table 6 Colorful Accent 3" w:uiPriority="51" w:semiHidden="0" w:unhideWhenUsed="0"/>
    <w:lsdException w:name="List Table 7 Colorful Accent 3" w:uiPriority="52" w:semiHidden="0" w:unhideWhenUsed="0"/>
    <w:lsdException w:name="List Table 1 Light Accent 4" w:uiPriority="46" w:semiHidden="0" w:unhideWhenUsed="0"/>
    <w:lsdException w:name="List Table 2 Accent 4" w:uiPriority="47" w:semiHidden="0" w:unhideWhenUsed="0"/>
    <w:lsdException w:name="List Table 3 Accent 4" w:uiPriority="48" w:semiHidden="0" w:unhideWhenUsed="0"/>
    <w:lsdException w:name="List Table 4 Accent 4" w:uiPriority="49" w:semiHidden="0" w:unhideWhenUsed="0"/>
    <w:lsdException w:name="List Table 5 Dark Accent 4" w:uiPriority="50" w:semiHidden="0" w:unhideWhenUsed="0"/>
    <w:lsdException w:name="List Table 6 Colorful Accent 4" w:uiPriority="51" w:semiHidden="0" w:unhideWhenUsed="0"/>
    <w:lsdException w:name="List Table 7 Colorful Accent 4" w:uiPriority="52" w:semiHidden="0" w:unhideWhenUsed="0"/>
    <w:lsdException w:name="List Table 1 Light Accent 5" w:uiPriority="46" w:semiHidden="0" w:unhideWhenUsed="0"/>
    <w:lsdException w:name="List Table 2 Accent 5" w:uiPriority="47" w:semiHidden="0" w:unhideWhenUsed="0"/>
    <w:lsdException w:name="List Table 3 Accent 5" w:uiPriority="48" w:semiHidden="0" w:unhideWhenUsed="0"/>
    <w:lsdException w:name="List Table 4 Accent 5" w:uiPriority="49" w:semiHidden="0" w:unhideWhenUsed="0"/>
    <w:lsdException w:name="List Table 5 Dark Accent 5" w:uiPriority="50" w:semiHidden="0" w:unhideWhenUsed="0"/>
    <w:lsdException w:name="List Table 6 Colorful Accent 5" w:uiPriority="51" w:semiHidden="0" w:unhideWhenUsed="0"/>
    <w:lsdException w:name="List Table 7 Colorful Accent 5" w:uiPriority="52" w:semiHidden="0" w:unhideWhenUsed="0"/>
    <w:lsdException w:name="List Table 1 Light Accent 6" w:uiPriority="46" w:semiHidden="0" w:unhideWhenUsed="0"/>
    <w:lsdException w:name="List Table 2 Accent 6" w:uiPriority="47" w:semiHidden="0" w:unhideWhenUsed="0"/>
    <w:lsdException w:name="List Table 3 Accent 6" w:uiPriority="48" w:semiHidden="0" w:unhideWhenUsed="0"/>
    <w:lsdException w:name="List Table 4 Accent 6" w:uiPriority="49" w:semiHidden="0" w:unhideWhenUsed="0"/>
    <w:lsdException w:name="List Table 5 Dark Accent 6" w:uiPriority="50" w:semiHidden="0" w:unhideWhenUsed="0"/>
    <w:lsdException w:name="List Table 6 Colorful Accent 6" w:uiPriority="51" w:semiHidden="0" w:unhideWhenUsed="0"/>
    <w:lsdException w:name="List Table 7 Colorful Accent 6" w:uiPriority="52" w:semiHidden="0" w:unhideWhenUsed="0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Basic Roman"/>
      <w:color w:val="auto"/>
      <w:kern w:val="2"/>
      <w:sz w:val="22"/>
      <w:szCs w:val="22"/>
      <w:lang w:val="pl-PL" w:eastAsia="zh-CN" w:bidi="ar-SA"/>
    </w:rPr>
  </w:style>
  <w:style w:type="character" w:styleId="DefaultParagraphFont" w:default="1">
    <w:name w:val="Default Paragraph Font"/>
    <w:qFormat/>
    <w:rPr/>
  </w:style>
  <w:style w:type="character" w:styleId="NagwekZnak" w:customStyle="1">
    <w:name w:val="Nagłówek Znak"/>
    <w:basedOn w:val="DefaultParagraphFont"/>
    <w:qFormat/>
    <w:rPr>
      <w:rFonts w:ascii="Calibri" w:hAnsi="Calibri" w:eastAsia="Calibri" w:cs="Times New Roman"/>
    </w:rPr>
  </w:style>
  <w:style w:type="character" w:styleId="StopkaZnak" w:customStyle="1">
    <w:name w:val="Stopka Znak"/>
    <w:basedOn w:val="DefaultParagraphFont"/>
    <w:qFormat/>
    <w:rPr>
      <w:rFonts w:ascii="Calibri" w:hAnsi="Calibri" w:eastAsia="Calibri" w:cs="Times New Roman"/>
    </w:rPr>
  </w:style>
  <w:style w:type="character" w:styleId="FontStyle111" w:customStyle="1">
    <w:name w:val="Font Style111"/>
    <w:qFormat/>
    <w:rPr>
      <w:rFonts w:ascii="Arial" w:hAnsi="Arial" w:cs="Arial"/>
      <w:color w:val="000000"/>
      <w:sz w:val="18"/>
      <w:szCs w:val="18"/>
    </w:rPr>
  </w:style>
  <w:style w:type="character" w:styleId="Annotationreference" w:customStyle="1">
    <w:name w:val="annotation reference"/>
    <w:basedOn w:val="DefaultParagraphFont"/>
    <w:qFormat/>
    <w:rPr>
      <w:sz w:val="16"/>
      <w:szCs w:val="16"/>
    </w:rPr>
  </w:style>
  <w:style w:type="character" w:styleId="TekstkomentarzaZnak" w:customStyle="1">
    <w:name w:val="Tekst komentarza Znak"/>
    <w:basedOn w:val="DefaultParagraphFont"/>
    <w:qFormat/>
    <w:rPr>
      <w:sz w:val="20"/>
      <w:szCs w:val="20"/>
    </w:rPr>
  </w:style>
  <w:style w:type="character" w:styleId="TematkomentarzaZnak" w:customStyle="1">
    <w:name w:val="Temat komentarza Znak"/>
    <w:basedOn w:val="TekstkomentarzaZnak"/>
    <w:qFormat/>
    <w:rPr>
      <w:b/>
      <w:bCs/>
    </w:rPr>
  </w:style>
  <w:style w:type="character" w:styleId="TekstdymkaZnak" w:customStyle="1">
    <w:name w:val="Tekst dymka Znak"/>
    <w:basedOn w:val="DefaultParagraphFont"/>
    <w:qFormat/>
    <w:rPr>
      <w:rFonts w:ascii="Tahoma" w:hAnsi="Tahoma" w:cs="Tahoma"/>
      <w:sz w:val="16"/>
      <w:szCs w:val="16"/>
    </w:rPr>
  </w:style>
  <w:style w:type="character" w:styleId="Czeinternetowe" w:customStyle="1">
    <w:name w:val="Łącze internetowe"/>
    <w:rPr>
      <w:color w:val="0000FF"/>
      <w:u w:val="single" w:color="FFFFFF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qFormat/>
    <w:pPr>
      <w:spacing w:before="0" w:after="140"/>
    </w:pPr>
    <w:rPr/>
  </w:style>
  <w:style w:type="paragraph" w:styleId="Lista">
    <w:name w:val="List"/>
    <w:basedOn w:val="Tretekstu"/>
    <w:qFormat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 w:customStyle="1">
    <w:name w:val="Główka i stopka"/>
    <w:basedOn w:val="Normal"/>
    <w:qFormat/>
    <w:pPr/>
    <w:rPr/>
  </w:style>
  <w:style w:type="paragraph" w:styleId="Gwka" w:customStyle="1">
    <w:name w:val="Header"/>
    <w:basedOn w:val="Normal"/>
    <w:next w:val="Tretekstu"/>
    <w:qFormat/>
    <w:pPr>
      <w:tabs>
        <w:tab w:val="clear" w:pos="708"/>
        <w:tab w:val="center" w:pos="4536" w:leader="none"/>
        <w:tab w:val="right" w:pos="9072" w:leader="none"/>
      </w:tabs>
    </w:pPr>
    <w:rPr>
      <w:rFonts w:cs="Times New Roman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opka">
    <w:name w:val="Footer"/>
    <w:basedOn w:val="Normal"/>
    <w:qFormat/>
    <w:pPr>
      <w:tabs>
        <w:tab w:val="clear" w:pos="708"/>
        <w:tab w:val="center" w:pos="4536" w:leader="none"/>
        <w:tab w:val="right" w:pos="9072" w:leader="none"/>
      </w:tabs>
    </w:pPr>
    <w:rPr>
      <w:rFonts w:cs="Times New Roman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38" w:customStyle="1">
    <w:name w:val="Style38"/>
    <w:basedOn w:val="Normal"/>
    <w:qFormat/>
    <w:pPr>
      <w:widowControl w:val="false"/>
      <w:spacing w:lineRule="exact" w:line="230" w:before="0" w:after="0"/>
    </w:pPr>
    <w:rPr>
      <w:rFonts w:ascii="Arial" w:hAnsi="Arial" w:eastAsia="Times New Roman" w:cs="Arial"/>
      <w:sz w:val="24"/>
      <w:szCs w:val="24"/>
    </w:rPr>
  </w:style>
  <w:style w:type="paragraph" w:styleId="Style37" w:customStyle="1">
    <w:name w:val="Style37"/>
    <w:basedOn w:val="Normal"/>
    <w:qFormat/>
    <w:pPr>
      <w:widowControl w:val="false"/>
      <w:spacing w:lineRule="exact" w:line="230" w:before="0" w:after="0"/>
    </w:pPr>
    <w:rPr>
      <w:rFonts w:ascii="Arial" w:hAnsi="Arial" w:eastAsia="Times New Roman" w:cs="Arial"/>
      <w:sz w:val="24"/>
      <w:szCs w:val="24"/>
    </w:rPr>
  </w:style>
  <w:style w:type="paragraph" w:styleId="Annotationtext" w:customStyle="1">
    <w:name w:val="annotation text"/>
    <w:basedOn w:val="Normal"/>
    <w:qFormat/>
    <w:pPr>
      <w:spacing w:lineRule="auto" w:line="240"/>
    </w:pPr>
    <w:rPr>
      <w:sz w:val="20"/>
      <w:szCs w:val="20"/>
    </w:rPr>
  </w:style>
  <w:style w:type="paragraph" w:styleId="Annotationsubject" w:customStyle="1">
    <w:name w:val="annotation subject"/>
    <w:basedOn w:val="Annotationtext"/>
    <w:next w:val="Annotationtext"/>
    <w:qFormat/>
    <w:pPr/>
    <w:rPr>
      <w:b/>
      <w:bCs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Default" w:customStyle="1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2"/>
      <w:sz w:val="24"/>
      <w:szCs w:val="24"/>
      <w:lang w:val="pl-PL" w:eastAsia="zh-CN" w:bidi="ar-SA"/>
    </w:rPr>
  </w:style>
  <w:style w:type="paragraph" w:styleId="Zawartoramki" w:customStyle="1">
    <w:name w:val="Zawartość ramki"/>
    <w:basedOn w:val="Normal"/>
    <w:qFormat/>
    <w:pPr/>
    <w:rPr/>
  </w:style>
  <w:style w:type="paragraph" w:styleId="CommentText">
    <w:name w:val="Comment Text"/>
    <w:basedOn w:val="Normal"/>
    <w:qFormat/>
    <w:pPr>
      <w:spacing w:lineRule="auto" w:line="240" w:before="0" w:after="0"/>
    </w:pPr>
    <w:rPr>
      <w:sz w:val="20"/>
      <w:szCs w:val="20"/>
    </w:rPr>
  </w:style>
  <w:style w:type="paragraph" w:styleId="CommentSubject">
    <w:name w:val="Comment Subject"/>
    <w:basedOn w:val="CommentText"/>
    <w:next w:val="CommentText"/>
    <w:qFormat/>
    <w:pPr/>
    <w:rPr>
      <w:b/>
      <w:bCs/>
    </w:rPr>
  </w:style>
  <w:style w:type="table" w:default="1" w:styleId="TableNormal">
    <w:name w:val="Zwykła tabela"/>
    <w:uiPriority w:val="99"/>
    <w:semiHidden/>
    <w:unhideWhenUsed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Basic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LibreOffice/7.1.4.2$Windows_X86_64 LibreOffice_project/a529a4fab45b75fefc5b6226684193eb000654f6</Application>
  <AppVersion>15.0000</AppVersion>
  <Pages>4</Pages>
  <Words>1314</Words>
  <Characters>9135</Characters>
  <CharactersWithSpaces>10287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2017-04-20T12:19:00Z</dcterms:created>
  <dc:creator>kamila</dc:creator>
  <dc:description/>
  <dc:language>pl-PL</dc:language>
  <cp:lastModifiedBy/>
  <cp:lastPrinted>2017-09-14T10:41:00Z</cp:lastPrinted>
  <dcterms:modified xsi:type="dcterms:W3CDTF">2021-09-23T10:33:30Z</dcterms:modified>
  <cp:revision>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