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120" w:after="120"/>
        <w:jc w:val="center"/>
        <w:rPr>
          <w:rFonts w:ascii="Calibri" w:hAnsi="Calibri" w:cs="Calibri" w:asciiTheme="majorHAnsi" w:cstheme="majorHAnsi" w:hAnsiTheme="majorHAnsi"/>
          <w:b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/>
          <w:sz w:val="22"/>
          <w:szCs w:val="22"/>
        </w:rPr>
        <w:t>ZAPYTANIE OFERTOWE nr 3/RwC/2025</w:t>
      </w:r>
    </w:p>
    <w:p>
      <w:pPr>
        <w:pStyle w:val="Normal"/>
        <w:spacing w:lineRule="auto" w:line="276"/>
        <w:jc w:val="center"/>
        <w:rPr>
          <w:rFonts w:ascii="Calibri" w:hAnsi="Calibri" w:cs="Calibri" w:asciiTheme="majorHAnsi" w:cstheme="majorHAnsi" w:hAnsiTheme="majorHAnsi"/>
          <w:b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/>
          <w:sz w:val="22"/>
          <w:szCs w:val="22"/>
        </w:rPr>
        <w:t>Zakup i dostawa materiałów edukacyjnych/dydaktycznych</w:t>
      </w:r>
    </w:p>
    <w:p>
      <w:pPr>
        <w:pStyle w:val="Normal"/>
        <w:spacing w:lineRule="auto" w:line="276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/>
          <w:bCs/>
          <w:sz w:val="22"/>
          <w:szCs w:val="22"/>
        </w:rPr>
        <w:t xml:space="preserve">w zakresie projektu „Rodzina w Centrum Etap I” realizowanego i współfinansowanego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zastępczej.</w:t>
      </w:r>
      <w:r>
        <w:rPr>
          <w:rFonts w:cs="Calibri" w:ascii="Calibri" w:hAnsi="Calibri" w:asciiTheme="majorHAnsi" w:cstheme="majorHAnsi" w:hAnsiTheme="majorHAnsi"/>
          <w:b/>
          <w:bCs/>
          <w:sz w:val="22"/>
          <w:szCs w:val="22"/>
        </w:rPr>
        <w:t xml:space="preserve"> </w:t>
      </w:r>
    </w:p>
    <w:p>
      <w:pPr>
        <w:pStyle w:val="Normal"/>
        <w:shd w:val="clear" w:color="auto" w:fill="D9D9D9" w:themeFill="background1" w:themeFillShade="d9"/>
        <w:spacing w:lineRule="auto" w:line="276" w:before="120" w:after="120"/>
        <w:jc w:val="both"/>
        <w:rPr>
          <w:rFonts w:ascii="Calibri" w:hAnsi="Calibri" w:cs="Calibri" w:asciiTheme="majorHAnsi" w:cstheme="majorHAnsi" w:hAnsiTheme="majorHAnsi"/>
          <w:b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/>
          <w:sz w:val="22"/>
          <w:szCs w:val="22"/>
        </w:rPr>
        <w:t>I. ZAMAWIAJĄCY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Powiatowe Centrum Pomocy Rodzinie w Nakle nad Notecią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cs="Calibri" w:ascii="Calibri" w:hAnsi="Calibri"/>
          <w:sz w:val="22"/>
          <w:szCs w:val="22"/>
          <w:lang w:val="en-US"/>
        </w:rPr>
        <w:t xml:space="preserve">tel. 52 325 17 20  </w:t>
      </w:r>
    </w:p>
    <w:p>
      <w:pPr>
        <w:pStyle w:val="Normal"/>
        <w:spacing w:lineRule="auto" w:line="276"/>
        <w:jc w:val="both"/>
        <w:rPr>
          <w:rStyle w:val="InternetLink1"/>
          <w:rFonts w:ascii="Calibri" w:hAnsi="Calibri" w:cs="Calibri"/>
          <w:color w:val="auto"/>
          <w:sz w:val="22"/>
          <w:szCs w:val="22"/>
          <w:lang w:val="de-DE"/>
        </w:rPr>
      </w:pPr>
      <w:r>
        <w:rPr>
          <w:rFonts w:cs="Calibri" w:ascii="Calibri" w:hAnsi="Calibri"/>
          <w:sz w:val="22"/>
          <w:szCs w:val="22"/>
          <w:lang w:val="de-DE"/>
        </w:rPr>
        <w:t>e-</w:t>
      </w:r>
      <w:r>
        <w:rPr>
          <w:rFonts w:cs="Calibri" w:ascii="Calibri" w:hAnsi="Calibri"/>
          <w:sz w:val="22"/>
          <w:szCs w:val="22"/>
          <w:lang w:val="en-US"/>
        </w:rPr>
        <w:t>mail</w:t>
      </w:r>
      <w:r>
        <w:rPr>
          <w:rFonts w:cs="Calibri" w:ascii="Calibri" w:hAnsi="Calibri"/>
          <w:sz w:val="22"/>
          <w:szCs w:val="22"/>
          <w:lang w:val="de-DE"/>
        </w:rPr>
        <w:t>: info@pcpr-naklo.pl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strona internetowa:</w:t>
      </w:r>
      <w:hyperlink r:id="rId2">
        <w:r>
          <w:rPr>
            <w:rStyle w:val="Hyperlink"/>
            <w:rFonts w:cs="Calibri" w:ascii="Calibri" w:hAnsi="Calibri"/>
            <w:sz w:val="22"/>
            <w:szCs w:val="22"/>
          </w:rPr>
          <w:t>Strona główna BIP - Powiatowe Centrum Pomocy Rodzinie (mojregion.info)</w:t>
        </w:r>
      </w:hyperlink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"/>
        <w:spacing w:lineRule="auto" w:line="27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REGON 093089594 NIP 093089594</w:t>
      </w:r>
    </w:p>
    <w:p>
      <w:pPr>
        <w:pStyle w:val="Normal"/>
        <w:shd w:val="clear" w:color="auto" w:fill="D9D9D9" w:themeFill="background1" w:themeFillShade="d9"/>
        <w:spacing w:lineRule="auto" w:line="276" w:before="120" w:after="120"/>
        <w:jc w:val="both"/>
        <w:rPr>
          <w:rFonts w:ascii="Calibri" w:hAnsi="Calibri" w:cs="Calibri" w:asciiTheme="majorHAnsi" w:cstheme="majorHAnsi" w:hAnsiTheme="majorHAnsi"/>
          <w:b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/>
          <w:sz w:val="22"/>
          <w:szCs w:val="22"/>
        </w:rPr>
        <w:t>II. SPOSÓB POROZUMIEWANIA SIĘ Z ZAMAWIAJĄCYM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ajorHAnsi" w:cstheme="majorHAnsi" w:hAnsiTheme="majorHAnsi"/>
          <w:sz w:val="22"/>
          <w:szCs w:val="22"/>
        </w:rPr>
      </w:pP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>O</w:t>
      </w:r>
      <w:r>
        <w:rPr>
          <w:rFonts w:eastAsia="TimesNewRoman" w:cs="Calibri" w:ascii="Calibri" w:hAnsi="Calibri" w:asciiTheme="majorHAnsi" w:cstheme="majorHAnsi" w:hAnsiTheme="majorHAnsi"/>
          <w:sz w:val="22"/>
          <w:szCs w:val="22"/>
        </w:rPr>
        <w:t>ś</w:t>
      </w: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>wiadczenia, wnioski, zawiadomienia oraz informacje Zamawiaj</w:t>
      </w:r>
      <w:r>
        <w:rPr>
          <w:rFonts w:eastAsia="TimesNewRoman" w:cs="Calibri" w:ascii="Calibri" w:hAnsi="Calibri" w:asciiTheme="majorHAnsi" w:cstheme="majorHAnsi" w:hAnsiTheme="majorHAnsi"/>
          <w:sz w:val="22"/>
          <w:szCs w:val="22"/>
        </w:rPr>
        <w:t>ą</w:t>
      </w: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>cy oraz Wykonawcy przekazuj</w:t>
      </w:r>
      <w:r>
        <w:rPr>
          <w:rFonts w:eastAsia="TimesNewRoman" w:cs="Calibri" w:ascii="Calibri" w:hAnsi="Calibri" w:asciiTheme="majorHAnsi" w:cstheme="majorHAnsi" w:hAnsiTheme="majorHAnsi"/>
          <w:sz w:val="22"/>
          <w:szCs w:val="22"/>
        </w:rPr>
        <w:t>ą pisemnie, faksem lub drogą elektroniczną (skan dokumentacji) najpóźniej na dzień przed terminem składania ofert</w:t>
      </w: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pacing w:lineRule="auto" w:line="276"/>
        <w:ind w:hanging="284" w:left="284"/>
        <w:jc w:val="both"/>
        <w:rPr>
          <w:rFonts w:ascii="Calibri" w:hAnsi="Calibri" w:eastAsia="Times New Roman" w:cs="Calibri" w:asciiTheme="majorHAnsi" w:cstheme="majorHAnsi" w:hAnsiTheme="majorHAnsi"/>
          <w:sz w:val="22"/>
          <w:szCs w:val="22"/>
        </w:rPr>
      </w:pP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>Osobami uprawnionymi do porozumiewania si</w:t>
      </w:r>
      <w:r>
        <w:rPr>
          <w:rFonts w:eastAsia="TimesNewRoman" w:cs="Calibri" w:ascii="Calibri" w:hAnsi="Calibri" w:asciiTheme="majorHAnsi" w:cstheme="majorHAnsi" w:hAnsiTheme="majorHAnsi"/>
          <w:sz w:val="22"/>
          <w:szCs w:val="22"/>
        </w:rPr>
        <w:t xml:space="preserve">ę </w:t>
      </w: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>z Wykonawcami są:</w:t>
      </w:r>
    </w:p>
    <w:p>
      <w:pPr>
        <w:pStyle w:val="Normal"/>
        <w:numPr>
          <w:ilvl w:val="1"/>
          <w:numId w:val="3"/>
        </w:numPr>
        <w:spacing w:lineRule="auto" w:line="276"/>
        <w:ind w:hanging="360" w:left="709"/>
        <w:jc w:val="both"/>
        <w:rPr>
          <w:rFonts w:ascii="Calibri" w:hAnsi="Calibri" w:eastAsia="Times New Roman" w:cs="Calibri" w:asciiTheme="majorHAnsi" w:cstheme="majorHAnsi" w:hAnsiTheme="majorHAnsi"/>
          <w:sz w:val="22"/>
          <w:szCs w:val="22"/>
        </w:rPr>
      </w:pPr>
      <w:r>
        <w:rPr>
          <w:rFonts w:eastAsia="Times New Roman" w:cs="Calibri" w:ascii="Calibri" w:hAnsi="Calibri" w:asciiTheme="majorHAnsi" w:cstheme="majorHAnsi" w:hAnsiTheme="majorHAnsi"/>
          <w:bCs/>
          <w:sz w:val="22"/>
          <w:szCs w:val="22"/>
        </w:rPr>
        <w:t>w zakresie procedur – Kinga Wnuk : w dni robocze od godziny 7:30 do 15:30  w budynku Centrum Akceptacji i Aktywności Społecznej w Paterku, tel. 531 250 459 lub e</w:t>
        <w:noBreakHyphen/>
        <w:t>mail: kinga.wnuk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>@pcpr-naklo.pl</w:t>
      </w:r>
    </w:p>
    <w:p>
      <w:pPr>
        <w:pStyle w:val="Normal"/>
        <w:numPr>
          <w:ilvl w:val="1"/>
          <w:numId w:val="3"/>
        </w:numPr>
        <w:spacing w:lineRule="auto" w:line="276"/>
        <w:ind w:hanging="360" w:left="709"/>
        <w:jc w:val="both"/>
        <w:rPr>
          <w:rFonts w:ascii="Calibri" w:hAnsi="Calibri" w:eastAsia="Times New Roman" w:cs="Calibri" w:asciiTheme="majorHAnsi" w:cstheme="majorHAnsi" w:hAnsiTheme="majorHAnsi"/>
          <w:sz w:val="22"/>
          <w:szCs w:val="22"/>
        </w:rPr>
      </w:pP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 xml:space="preserve">w </w:t>
      </w:r>
      <w:r>
        <w:rPr>
          <w:rFonts w:eastAsia="Times New Roman" w:cs="Calibri" w:ascii="Calibri" w:hAnsi="Calibri" w:asciiTheme="majorHAnsi" w:cstheme="majorHAnsi" w:hAnsiTheme="majorHAnsi"/>
          <w:bCs/>
          <w:sz w:val="22"/>
          <w:szCs w:val="22"/>
        </w:rPr>
        <w:t>sprawach</w:t>
      </w: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 xml:space="preserve"> merytorycznych – Kinga Wnuk</w:t>
      </w:r>
      <w:r>
        <w:rPr>
          <w:rFonts w:eastAsia="Times New Roman" w:cs="Calibri" w:ascii="Calibri" w:hAnsi="Calibri" w:asciiTheme="majorHAnsi" w:cstheme="majorHAnsi" w:hAnsiTheme="majorHAnsi"/>
          <w:bCs/>
          <w:sz w:val="22"/>
          <w:szCs w:val="22"/>
        </w:rPr>
        <w:t>: w dni robocze od godziny 7:30 do 15:30  w budynku Centrum Akceptacji i Aktywności Społecznej w Paterku, ul. Wyzwolenia 13, tel. lub e</w:t>
        <w:noBreakHyphen/>
        <w:t>mail: kinga.wnuk@pcpr-naklo.pl</w:t>
      </w:r>
    </w:p>
    <w:p>
      <w:pPr>
        <w:pStyle w:val="Normal"/>
        <w:shd w:val="clear" w:color="auto" w:fill="D9D9D9" w:themeFill="background1" w:themeFillShade="d9"/>
        <w:spacing w:lineRule="auto" w:line="276" w:before="120" w:after="120"/>
        <w:jc w:val="both"/>
        <w:rPr>
          <w:rFonts w:ascii="Calibri" w:hAnsi="Calibri" w:cs="Calibri" w:asciiTheme="majorHAnsi" w:cstheme="majorHAnsi" w:hAnsiTheme="majorHAnsi"/>
          <w:b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/>
          <w:sz w:val="22"/>
          <w:szCs w:val="22"/>
        </w:rPr>
        <w:t>III. TRYB UDZIELANIA ZAMÓWIENIA</w:t>
      </w:r>
    </w:p>
    <w:p>
      <w:pPr>
        <w:pStyle w:val="ListParagraph"/>
        <w:widowControl/>
        <w:numPr>
          <w:ilvl w:val="0"/>
          <w:numId w:val="4"/>
        </w:numPr>
        <w:spacing w:lineRule="auto" w:line="276"/>
        <w:ind w:hanging="284" w:left="284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Postępowanie o udzielenie zamówienia na usługi prowadzone z wyłączeniem stosowania ustawy Prawo zamówień publicznych – podstawa prawna art. 2 ust. 1 pkt 1) ustawy z 11 wrzesień 2019 r. (Dz. U. z 2021 r. poz. 1129 ze zm.).</w:t>
      </w:r>
    </w:p>
    <w:p>
      <w:pPr>
        <w:pStyle w:val="BodyText"/>
        <w:widowControl/>
        <w:numPr>
          <w:ilvl w:val="0"/>
          <w:numId w:val="4"/>
        </w:numPr>
        <w:spacing w:lineRule="auto" w:line="276" w:before="0" w:after="26"/>
        <w:ind w:hanging="284" w:left="284"/>
        <w:jc w:val="both"/>
        <w:rPr>
          <w:color w:val="auto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Postępowanie prowadzone jest na podstawie Wytycznych w zakresie kwalifikowalności wydatków na lata 2021 – 2027 z uwagi na fakt objęcia przedmiotowego zamówienia dofinansowaniem z budżetu UE.</w:t>
      </w:r>
    </w:p>
    <w:p>
      <w:pPr>
        <w:pStyle w:val="ListParagraph"/>
        <w:widowControl/>
        <w:spacing w:lineRule="auto" w:line="276"/>
        <w:ind w:hanging="0" w:left="0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3. Zamawiający nie dopuszcza możliwości składania ofert częściowych.</w:t>
      </w:r>
    </w:p>
    <w:p>
      <w:pPr>
        <w:pStyle w:val="Normal"/>
        <w:shd w:val="clear" w:color="auto" w:fill="D9D9D9" w:themeFill="background1" w:themeFillShade="d9"/>
        <w:spacing w:lineRule="auto" w:line="276" w:before="120" w:after="120"/>
        <w:jc w:val="both"/>
        <w:rPr>
          <w:rFonts w:ascii="Calibri" w:hAnsi="Calibri" w:cs="Calibri" w:asciiTheme="majorHAnsi" w:cstheme="majorHAnsi" w:hAnsiTheme="majorHAnsi"/>
          <w:b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/>
          <w:sz w:val="22"/>
          <w:szCs w:val="22"/>
        </w:rPr>
        <w:t>IV. PRZEDMIOT ZAMÓWIENIA</w:t>
      </w:r>
    </w:p>
    <w:p>
      <w:pPr>
        <w:pStyle w:val="Normal"/>
        <w:widowControl/>
        <w:numPr>
          <w:ilvl w:val="0"/>
          <w:numId w:val="11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Przedmiotem zamówienia jest zakup i dostawa materiałów edukacyjnych/dydaktycznych w ramach projektu „Rodzina w Centrum Etap I” </w:t>
      </w: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auto"/>
          <w:spacing w:val="0"/>
          <w:sz w:val="22"/>
          <w:szCs w:val="22"/>
        </w:rPr>
        <w:t>realizowanego w ramach projektu własnego Województwa Kujawsko-Pomorskiego, pn. „Rodzina w centrum Etap I” w ramach Osi Priorytetowej 08 Fundusze Europejskie na wsparcie w obszarze rynku pracy, edukacji i włączenia społecznego, Działania FEKP.08.25 Usługi wsparcia rodziny i pieczy zastępczej, Program Regionalny: Fundusze Europejskie dla Kujaw i Pomorza na lata 2021-2027.</w:t>
      </w:r>
      <w:r>
        <w:rPr>
          <w:rFonts w:cs="Calibri" w:ascii="Calibri" w:hAnsi="Calibri"/>
          <w:bCs/>
          <w:color w:val="auto"/>
          <w:sz w:val="22"/>
          <w:szCs w:val="22"/>
        </w:rPr>
        <w:t xml:space="preserve"> </w:t>
      </w:r>
      <w:r>
        <w:br w:type="page"/>
      </w:r>
    </w:p>
    <w:tbl>
      <w:tblPr>
        <w:tblW w:w="9285" w:type="dxa"/>
        <w:jc w:val="center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firstRow="0" w:noVBand="0" w:lastRow="0" w:firstColumn="0" w:lastColumn="0" w:noHBand="0" w:val="0000"/>
      </w:tblPr>
      <w:tblGrid>
        <w:gridCol w:w="428"/>
        <w:gridCol w:w="7658"/>
        <w:gridCol w:w="1199"/>
      </w:tblGrid>
      <w:tr>
        <w:trPr>
          <w:trHeight w:val="510" w:hRule="atLeast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pageBreakBefore/>
              <w:widowControl w:val="false"/>
              <w:spacing w:before="0" w:after="0"/>
              <w:jc w:val="center"/>
              <w:rPr>
                <w:rFonts w:ascii="Calibri" w:hAnsi="Calibri" w:eastAsia="Times New Roman" w:cs="Calibri" w:asciiTheme="majorHAnsi" w:cstheme="majorHAnsi" w:hAnsiTheme="majorHAnsi"/>
                <w:b/>
                <w:lang w:eastAsia="pl-PL"/>
              </w:rPr>
            </w:pPr>
            <w:r>
              <w:rPr>
                <w:rFonts w:eastAsia="Times New Roman" w:cs="Calibri" w:ascii="Calibri" w:hAnsi="Calibri" w:asciiTheme="majorHAnsi" w:cstheme="majorHAnsi" w:hAnsiTheme="majorHAnsi"/>
                <w:b/>
                <w:sz w:val="22"/>
                <w:szCs w:val="22"/>
                <w:lang w:eastAsia="pl-PL"/>
              </w:rPr>
              <w:t>Lp</w:t>
            </w:r>
          </w:p>
        </w:tc>
        <w:tc>
          <w:tcPr>
            <w:tcW w:w="7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b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sz w:val="22"/>
                <w:szCs w:val="22"/>
              </w:rPr>
              <w:t>Nazwa przedmiotu zamówienia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b/>
              </w:rPr>
            </w:pPr>
            <w:r>
              <w:rPr>
                <w:rFonts w:cs="Calibri" w:ascii="Calibri" w:hAnsi="Calibri" w:asciiTheme="majorHAnsi" w:cstheme="majorHAnsi" w:hAnsiTheme="majorHAnsi"/>
                <w:b/>
                <w:sz w:val="22"/>
                <w:szCs w:val="22"/>
              </w:rPr>
              <w:t>Ilość</w:t>
            </w:r>
          </w:p>
        </w:tc>
      </w:tr>
      <w:tr>
        <w:trPr>
          <w:trHeight w:val="624" w:hRule="atLeast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cstheme="majorHAns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7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ajorHAnsi" w:cstheme="majorHAnsi" w:hAnsiTheme="majorHAnsi"/>
                <w:b w:val="false"/>
                <w:bCs w:val="false"/>
                <w:color w:val="auto"/>
                <w:sz w:val="24"/>
                <w:szCs w:val="24"/>
                <w:lang w:eastAsia="pl-PL"/>
              </w:rPr>
              <w:t>Gra „MECZ- Myśli, Emocje, Ciało Zachowanie. Poznaj zasady gry. Zostań mistrzem emocji”.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cs="Calibri" w:ascii="Calibri" w:hAnsi="Calibri" w:asciiTheme="majorHAnsi" w:cstheme="majorHAnsi" w:hAnsiTheme="majorHAnsi"/>
                <w:sz w:val="22"/>
                <w:szCs w:val="22"/>
              </w:rPr>
              <w:t>1</w:t>
            </w:r>
          </w:p>
        </w:tc>
      </w:tr>
      <w:tr>
        <w:trPr>
          <w:trHeight w:val="624" w:hRule="atLeast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cstheme="majorHAns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7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Calibri" w:ascii="Calibri" w:hAnsi="Calibri" w:asciiTheme="majorHAnsi" w:cstheme="majorHAnsi" w:hAnsiTheme="majorHAnsi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lang w:eastAsia="pl-PL"/>
              </w:rPr>
              <w:t>Gra „Emoterra – planeta emocji”.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cs="Calibri" w:ascii="Calibri" w:hAnsi="Calibri" w:cstheme="majorHAnsi"/>
                <w:sz w:val="22"/>
                <w:szCs w:val="22"/>
              </w:rPr>
              <w:t>1</w:t>
            </w:r>
          </w:p>
        </w:tc>
      </w:tr>
      <w:tr>
        <w:trPr>
          <w:trHeight w:val="624" w:hRule="atLeast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cstheme="majorHAns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7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Calibri" w:ascii="Calibri" w:hAnsi="Calibri" w:cstheme="majorHAnsi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lang w:eastAsia="pl-PL"/>
              </w:rPr>
              <w:t>Gra „Kraina Spokoju. Karty, które pomagają znaleźć ukojenie i odkrywać swoją wewnętrzną moc”.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cs="Calibri" w:ascii="Calibri" w:hAnsi="Calibri" w:cstheme="majorHAnsi"/>
                <w:sz w:val="22"/>
                <w:szCs w:val="22"/>
              </w:rPr>
              <w:t>1</w:t>
            </w:r>
          </w:p>
        </w:tc>
      </w:tr>
      <w:tr>
        <w:trPr>
          <w:trHeight w:val="624" w:hRule="atLeast"/>
        </w:trPr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cstheme="majorHAnsi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7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lang w:eastAsia="pl-PL"/>
              </w:rPr>
              <w:t>Gra „Z Miłością do Siebie”.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cs="Calibri" w:ascii="Calibri" w:hAnsi="Calibri" w:cstheme="majorHAnsi"/>
                <w:sz w:val="22"/>
                <w:szCs w:val="22"/>
              </w:rPr>
              <w:t>1</w:t>
            </w:r>
          </w:p>
        </w:tc>
      </w:tr>
      <w:tr>
        <w:trPr>
          <w:trHeight w:val="564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cstheme="majorHAnsi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7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eastAsia="Times New Roman" w:cs="Calibri" w:ascii="Calibri" w:hAnsi="Calibri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  <w:lang w:eastAsia="pl-PL"/>
              </w:rPr>
              <w:t>Gra „Miło, że pytasz – gra konwersacyjna” edycja dla dzieci.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cstheme="majorHAnsi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7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Gra „Emocje w gabinecie” – zestaw dla specjalistów.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cs="Calibri" w:ascii="Calibri" w:hAnsi="Calibri" w:asciiTheme="majorHAnsi" w:cstheme="majorHAnsi" w:hAnsiTheme="majorHAnsi"/>
                <w:sz w:val="22"/>
                <w:szCs w:val="22"/>
              </w:rPr>
              <w:t>1</w:t>
            </w:r>
          </w:p>
        </w:tc>
      </w:tr>
      <w:tr>
        <w:trPr>
          <w:trHeight w:val="624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cstheme="majorHAnsi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7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„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Tangram Gra i zabawka edukacyjna”.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cs="Calibri" w:ascii="Calibri" w:hAnsi="Calibri" w:cstheme="majorHAnsi"/>
                <w:sz w:val="22"/>
                <w:szCs w:val="22"/>
              </w:rPr>
              <w:t>1</w:t>
            </w:r>
          </w:p>
        </w:tc>
      </w:tr>
      <w:tr>
        <w:trPr>
          <w:trHeight w:val="624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 w:cstheme="majorHAnsi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7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„</w:t>
            </w:r>
            <w:r>
              <w:rPr>
                <w:rFonts w:ascii="Calibri" w:hAnsi="Calibri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Główka pracuje – zestaw do główkowania, rysowania i zmazywania”.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cs="Calibri" w:ascii="Calibri" w:hAnsi="Calibri" w:cstheme="majorHAnsi"/>
                <w:sz w:val="22"/>
                <w:szCs w:val="22"/>
              </w:rPr>
              <w:t>1</w:t>
            </w:r>
          </w:p>
        </w:tc>
      </w:tr>
      <w:tr>
        <w:trPr>
          <w:trHeight w:val="624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7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  <w:t>Karty „Karty samooceny i samopoznania”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cs="Calibri" w:ascii="Calibri" w:hAnsi="Calibri" w:cstheme="majorHAnsi"/>
                <w:sz w:val="22"/>
                <w:szCs w:val="22"/>
              </w:rPr>
              <w:t>1</w:t>
            </w:r>
          </w:p>
        </w:tc>
      </w:tr>
      <w:tr>
        <w:trPr>
          <w:trHeight w:val="624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7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  <w:t>Gra logiczna „Sprawdź swoją pamięć. Dobre zachowanie”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cs="Calibri" w:ascii="Calibri" w:hAnsi="Calibri" w:cstheme="majorHAnsi"/>
                <w:sz w:val="22"/>
                <w:szCs w:val="22"/>
              </w:rPr>
              <w:t>1</w:t>
            </w:r>
          </w:p>
        </w:tc>
      </w:tr>
      <w:tr>
        <w:trPr>
          <w:trHeight w:val="624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7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  <w:t>„</w:t>
            </w:r>
            <w:r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  <w:t>Poznajmy się. Gra wspierająca kompetencje społeczno-emocjonalne”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cs="Calibri" w:ascii="Calibri" w:hAnsi="Calibri" w:cstheme="majorHAnsi"/>
                <w:sz w:val="22"/>
                <w:szCs w:val="22"/>
              </w:rPr>
              <w:t>1</w:t>
            </w:r>
          </w:p>
        </w:tc>
      </w:tr>
      <w:tr>
        <w:trPr>
          <w:trHeight w:val="624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7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  <w:t>Karty „Łamacz lodów 12+”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cs="Calibri" w:ascii="Calibri" w:hAnsi="Calibri" w:cstheme="majorHAnsi"/>
                <w:sz w:val="22"/>
                <w:szCs w:val="22"/>
              </w:rPr>
              <w:t>1</w:t>
            </w:r>
          </w:p>
        </w:tc>
      </w:tr>
      <w:tr>
        <w:trPr>
          <w:trHeight w:val="703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7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 w:left="0" w:right="0"/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  <w:t>Karty „Łamacz lodów 6-12 lat”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cs="Calibri" w:ascii="Calibri" w:hAnsi="Calibri" w:cstheme="majorHAnsi"/>
                <w:sz w:val="22"/>
                <w:szCs w:val="22"/>
              </w:rPr>
              <w:t>1</w:t>
            </w:r>
          </w:p>
        </w:tc>
      </w:tr>
      <w:tr>
        <w:trPr>
          <w:trHeight w:val="624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pl-PL"/>
              </w:rPr>
              <w:t>14.</w:t>
            </w:r>
          </w:p>
        </w:tc>
        <w:tc>
          <w:tcPr>
            <w:tcW w:w="7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0"/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  <w:t>Kredki ołówkowe bambino 12 kolorów + temperówka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cs="Calibri" w:ascii="Calibri" w:hAnsi="Calibri" w:cstheme="majorHAnsi"/>
                <w:sz w:val="22"/>
                <w:szCs w:val="22"/>
              </w:rPr>
              <w:t>5</w:t>
            </w:r>
          </w:p>
        </w:tc>
      </w:tr>
      <w:tr>
        <w:trPr>
          <w:trHeight w:val="624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pl-PL"/>
              </w:rPr>
              <w:t>15.</w:t>
            </w:r>
          </w:p>
        </w:tc>
        <w:tc>
          <w:tcPr>
            <w:tcW w:w="7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spacing w:lineRule="auto" w:line="240" w:before="0" w:after="200"/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  <w:t>Blok rysunkowy biały A4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cs="Calibri" w:ascii="Calibri" w:hAnsi="Calibri" w:cstheme="majorHAnsi"/>
                <w:sz w:val="22"/>
                <w:szCs w:val="22"/>
              </w:rPr>
              <w:t>5</w:t>
            </w:r>
          </w:p>
        </w:tc>
      </w:tr>
      <w:tr>
        <w:trPr>
          <w:trHeight w:val="624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pl-PL"/>
              </w:rPr>
              <w:t>16.</w:t>
            </w:r>
          </w:p>
        </w:tc>
        <w:tc>
          <w:tcPr>
            <w:tcW w:w="7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  <w:t>Gra „Szybka logika, genialny dzieciak”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cs="Calibri" w:ascii="Calibri" w:hAnsi="Calibri" w:cstheme="majorHAnsi"/>
                <w:sz w:val="22"/>
                <w:szCs w:val="22"/>
              </w:rPr>
              <w:t>1</w:t>
            </w:r>
          </w:p>
        </w:tc>
      </w:tr>
      <w:tr>
        <w:trPr>
          <w:trHeight w:val="624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pl-PL"/>
              </w:rPr>
              <w:t>17.</w:t>
            </w:r>
          </w:p>
        </w:tc>
        <w:tc>
          <w:tcPr>
            <w:tcW w:w="7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  <w:t>Gra „Co za emocje! Gra edukacyjna. Kapitan nauka”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cs="Calibri" w:ascii="Calibri" w:hAnsi="Calibri" w:cstheme="majorHAnsi"/>
                <w:sz w:val="22"/>
                <w:szCs w:val="22"/>
              </w:rPr>
              <w:t>1</w:t>
            </w:r>
          </w:p>
        </w:tc>
      </w:tr>
      <w:tr>
        <w:trPr>
          <w:trHeight w:val="624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pl-PL"/>
              </w:rPr>
              <w:t>18.</w:t>
            </w:r>
          </w:p>
        </w:tc>
        <w:tc>
          <w:tcPr>
            <w:tcW w:w="7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  <w:t>Gra „Emocje. Nazywam, rozumiem, wyrażam”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cs="Calibri" w:ascii="Calibri" w:hAnsi="Calibri" w:cstheme="majorHAnsi"/>
                <w:sz w:val="22"/>
                <w:szCs w:val="22"/>
              </w:rPr>
              <w:t>1</w:t>
            </w:r>
          </w:p>
        </w:tc>
      </w:tr>
      <w:tr>
        <w:trPr>
          <w:trHeight w:val="624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pl-PL"/>
              </w:rPr>
              <w:t>19.</w:t>
            </w:r>
          </w:p>
        </w:tc>
        <w:tc>
          <w:tcPr>
            <w:tcW w:w="7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  <w:t>Malowanka z pisakiem wodnym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cs="Calibri" w:ascii="Calibri" w:hAnsi="Calibri" w:cstheme="majorHAnsi"/>
                <w:sz w:val="22"/>
                <w:szCs w:val="22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pl-PL"/>
              </w:rPr>
              <w:t>20.</w:t>
            </w:r>
          </w:p>
        </w:tc>
        <w:tc>
          <w:tcPr>
            <w:tcW w:w="7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  <w:t>Kolorowe szlaczki z pisakiem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cs="Calibri" w:ascii="Calibri" w:hAnsi="Calibri" w:cstheme="majorHAnsi"/>
                <w:sz w:val="22"/>
                <w:szCs w:val="22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4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sz w:val="22"/>
                <w:szCs w:val="22"/>
                <w:lang w:eastAsia="pl-PL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pl-PL"/>
              </w:rPr>
              <w:t>21.</w:t>
            </w:r>
          </w:p>
        </w:tc>
        <w:tc>
          <w:tcPr>
            <w:tcW w:w="7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</w:tabs>
              <w:jc w:val="center"/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4"/>
                <w:szCs w:val="24"/>
              </w:rPr>
              <w:t>Kolorowanki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ajorHAnsi" w:cstheme="majorHAnsi" w:hAnsiTheme="majorHAnsi"/>
                <w:sz w:val="22"/>
                <w:szCs w:val="22"/>
              </w:rPr>
            </w:pPr>
            <w:r>
              <w:rPr>
                <w:rFonts w:cs="Calibri" w:ascii="Calibri" w:hAnsi="Calibri" w:cstheme="majorHAnsi"/>
                <w:sz w:val="22"/>
                <w:szCs w:val="22"/>
              </w:rPr>
              <w:t>5</w:t>
            </w:r>
          </w:p>
        </w:tc>
      </w:tr>
    </w:tbl>
    <w:p>
      <w:pPr>
        <w:pStyle w:val="ListParagraph"/>
        <w:numPr>
          <w:ilvl w:val="0"/>
          <w:numId w:val="11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Dostarczony przedmiot zamówienia powinien być fabrycznie nowy, wolny od wad fizycznych i prawnych.</w:t>
      </w:r>
    </w:p>
    <w:p>
      <w:pPr>
        <w:pStyle w:val="Normal"/>
        <w:widowControl/>
        <w:numPr>
          <w:ilvl w:val="0"/>
          <w:numId w:val="11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Wykonawca zobowiązany jest posiadać wszelkie odpowiednie uprawnienia warunkujące prawidłowe wykonanie przedmiotu zamówienia.</w:t>
      </w:r>
    </w:p>
    <w:p>
      <w:pPr>
        <w:pStyle w:val="Normal"/>
        <w:widowControl/>
        <w:numPr>
          <w:ilvl w:val="0"/>
          <w:numId w:val="11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 xml:space="preserve">Wykonawca zobowiązuje się do zapoznania się z treścią </w:t>
      </w:r>
      <w:r>
        <w:rPr>
          <w:rFonts w:cs="Calibri" w:ascii="Calibri" w:hAnsi="Calibri"/>
          <w:bCs/>
          <w:i/>
          <w:color w:val="000000"/>
          <w:sz w:val="22"/>
          <w:szCs w:val="22"/>
        </w:rPr>
        <w:t>Wytycznych w zakresie kwalifikowalności wydatków na lata 2021-2027.</w:t>
      </w:r>
    </w:p>
    <w:p>
      <w:pPr>
        <w:pStyle w:val="Normal"/>
        <w:widowControl/>
        <w:numPr>
          <w:ilvl w:val="0"/>
          <w:numId w:val="11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Zamawiający zastrzega sobie możliwość unieważnienia przedmiotowego postępowania w przypadku, kiedy środki pochodzące z budżetu Unii Europejskiej, które zamierza przeznaczyć na</w:t>
      </w:r>
    </w:p>
    <w:p>
      <w:pPr>
        <w:pStyle w:val="Normal"/>
        <w:widowControl/>
        <w:numPr>
          <w:ilvl w:val="0"/>
          <w:numId w:val="0"/>
        </w:numPr>
        <w:spacing w:lineRule="auto" w:line="276"/>
        <w:ind w:hanging="0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 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sfinansowanie </w:t>
      </w:r>
      <w:r>
        <w:rPr>
          <w:rFonts w:cs="Calibri" w:ascii="Calibri" w:hAnsi="Calibri" w:asciiTheme="majorHAnsi" w:cstheme="majorHAnsi" w:hAnsiTheme="majorHAnsi"/>
          <w:bCs/>
          <w:sz w:val="22"/>
          <w:szCs w:val="22"/>
        </w:rPr>
        <w:t xml:space="preserve">niniejszego zamówienia, nie zostaną mu przyznane. </w:t>
      </w:r>
    </w:p>
    <w:p>
      <w:pPr>
        <w:pStyle w:val="Normal"/>
        <w:widowControl/>
        <w:numPr>
          <w:ilvl w:val="0"/>
          <w:numId w:val="11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Cs/>
          <w:sz w:val="22"/>
          <w:szCs w:val="22"/>
        </w:rPr>
        <w:t>Zamawiający zastrzega możliwość unieważnienia postępowania w sytuacji, w której cena oferty najkorzystniejszej będzie przekraczała kwotę jaką Zamawiający może przeznaczyć na sfinansowanie zamówienia.</w:t>
      </w:r>
    </w:p>
    <w:p>
      <w:pPr>
        <w:pStyle w:val="Normal"/>
        <w:shd w:val="clear" w:color="auto" w:fill="D9D9D9" w:themeFill="background1" w:themeFillShade="d9"/>
        <w:spacing w:lineRule="auto" w:line="276" w:before="120" w:after="120"/>
        <w:jc w:val="both"/>
        <w:rPr>
          <w:rFonts w:ascii="Calibri" w:hAnsi="Calibri" w:cs="Calibri" w:asciiTheme="majorHAnsi" w:cstheme="majorHAnsi" w:hAnsiTheme="majorHAnsi"/>
          <w:b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/>
          <w:sz w:val="22"/>
          <w:szCs w:val="22"/>
        </w:rPr>
        <w:t>V. TERMIN I MIEJSCE REALIZACJI ZAMÓWIENIA</w:t>
      </w:r>
    </w:p>
    <w:p>
      <w:pPr>
        <w:pStyle w:val="ListParagraph"/>
        <w:widowControl/>
        <w:numPr>
          <w:ilvl w:val="3"/>
          <w:numId w:val="11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Zamawiający wymaga realizacji przedmiotu zamówienia w ciągu maksymalnie 5 dni kalendarzowych od podpisania umowy.</w:t>
      </w:r>
    </w:p>
    <w:p>
      <w:pPr>
        <w:pStyle w:val="ListParagraph"/>
        <w:widowControl/>
        <w:numPr>
          <w:ilvl w:val="3"/>
          <w:numId w:val="11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Miejsce dostawy zamówienia to Centrum Akceptacji i Aktywności Społecznej w Paterku, ul. Wyzwolenia 13, 89- 100 Nakło nad Notecią.</w:t>
      </w:r>
    </w:p>
    <w:p>
      <w:pPr>
        <w:pStyle w:val="ListParagraph"/>
        <w:widowControl/>
        <w:numPr>
          <w:ilvl w:val="3"/>
          <w:numId w:val="11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Dostawa może nastąpić w dni robocze w godzinach od 8:00 do 15:00. Po uprzednim uzgodnieniu terminu dostawy z Zamawiającym z wyprzedzeniem co najmniej 2 dni roboczych przed planowanym terminem dostawy.</w:t>
      </w:r>
    </w:p>
    <w:p>
      <w:pPr>
        <w:pStyle w:val="Normal"/>
        <w:shd w:val="clear" w:color="auto" w:fill="D9D9D9" w:themeFill="background1" w:themeFillShade="d9"/>
        <w:spacing w:lineRule="auto" w:line="276" w:before="120" w:after="120"/>
        <w:jc w:val="both"/>
        <w:rPr>
          <w:rFonts w:ascii="Calibri" w:hAnsi="Calibri" w:cs="Calibri" w:asciiTheme="majorHAnsi" w:cstheme="majorHAnsi" w:hAnsiTheme="majorHAnsi"/>
          <w:b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/>
          <w:sz w:val="22"/>
          <w:szCs w:val="22"/>
        </w:rPr>
        <w:t>VI. WARUNKI UDZIAŁU W POSTĘPOWANIU</w:t>
      </w:r>
    </w:p>
    <w:p>
      <w:pPr>
        <w:pStyle w:val="Default"/>
        <w:spacing w:lineRule="auto" w:line="276"/>
        <w:jc w:val="both"/>
        <w:rPr>
          <w:rFonts w:ascii="Calibri" w:hAnsi="Calibri" w:cs="Calibri" w:asciiTheme="majorHAnsi" w:cstheme="majorHAnsi" w:hAnsiTheme="majorHAnsi"/>
          <w:color w:val="auto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color w:val="auto"/>
          <w:sz w:val="22"/>
          <w:szCs w:val="22"/>
        </w:rPr>
        <w:t>Zamawiający ustanawia w niniejszym postępowaniu warunki udziału, których spełnianie winien wykazać Wykonawca ubiegający się o udzielenie zamówienia.</w:t>
      </w:r>
    </w:p>
    <w:p>
      <w:pPr>
        <w:pStyle w:val="Normal"/>
        <w:spacing w:lineRule="auto" w:line="276"/>
        <w:jc w:val="both"/>
        <w:rPr>
          <w:rFonts w:ascii="Calibri" w:hAnsi="Calibri" w:cs="Calibri" w:asciiTheme="majorHAnsi" w:cstheme="majorHAnsi" w:hAnsiTheme="majorHAnsi"/>
          <w:sz w:val="16"/>
          <w:szCs w:val="16"/>
          <w:u w:val="single"/>
        </w:rPr>
      </w:pPr>
      <w:r>
        <w:rPr>
          <w:rFonts w:cs="Calibri" w:cstheme="majorHAnsi" w:ascii="Calibri" w:hAnsi="Calibri"/>
          <w:sz w:val="16"/>
          <w:szCs w:val="16"/>
          <w:u w:val="single"/>
        </w:rPr>
      </w:r>
    </w:p>
    <w:p>
      <w:pPr>
        <w:pStyle w:val="Default"/>
        <w:numPr>
          <w:ilvl w:val="0"/>
          <w:numId w:val="0"/>
        </w:numPr>
        <w:spacing w:lineRule="auto" w:line="276"/>
        <w:ind w:hanging="0" w:left="0"/>
        <w:jc w:val="both"/>
        <w:rPr>
          <w:rFonts w:ascii="Calibri" w:hAnsi="Calibri" w:cs="Calibri" w:asciiTheme="majorHAnsi" w:cstheme="majorHAnsi" w:hAnsiTheme="majorHAnsi"/>
          <w:color w:themeColor="text1" w:val="000000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color w:themeColor="text1" w:val="000000"/>
          <w:sz w:val="22"/>
          <w:szCs w:val="22"/>
        </w:rPr>
        <w:t>1. Warunek w zakresie posiadania odpowiednich uprawnień:</w:t>
      </w:r>
    </w:p>
    <w:p>
      <w:pPr>
        <w:pStyle w:val="Default"/>
        <w:spacing w:lineRule="auto" w:line="276"/>
        <w:ind w:hanging="0" w:left="0"/>
        <w:jc w:val="both"/>
        <w:rPr>
          <w:rFonts w:ascii="Calibri" w:hAnsi="Calibri" w:cs="Calibri" w:asciiTheme="majorHAnsi" w:cstheme="majorHAnsi" w:hAnsiTheme="majorHAnsi"/>
          <w:color w:themeColor="text1" w:val="000000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color w:themeColor="text1" w:val="000000"/>
          <w:sz w:val="22"/>
          <w:szCs w:val="22"/>
        </w:rPr>
        <w:t xml:space="preserve">Zamawiający nie stawia szczególnego warunku w tym zakresie, chyba że </w:t>
      </w:r>
      <w:r>
        <w:rPr>
          <w:rFonts w:cs="Calibri" w:ascii="Calibri" w:hAnsi="Calibri"/>
          <w:sz w:val="22"/>
          <w:szCs w:val="22"/>
        </w:rPr>
        <w:t>prawo nakłada obowiązek posiadania takich uprawnień</w:t>
      </w:r>
      <w:r>
        <w:rPr>
          <w:rFonts w:cs="Calibri" w:ascii="Calibri" w:hAnsi="Calibri" w:asciiTheme="majorHAnsi" w:cstheme="majorHAnsi" w:hAnsiTheme="majorHAnsi"/>
          <w:color w:themeColor="text1" w:val="000000"/>
          <w:sz w:val="22"/>
          <w:szCs w:val="22"/>
        </w:rPr>
        <w:t>.</w:t>
      </w:r>
    </w:p>
    <w:p>
      <w:pPr>
        <w:pStyle w:val="Default"/>
        <w:spacing w:lineRule="auto" w:line="276"/>
        <w:jc w:val="both"/>
        <w:rPr>
          <w:rFonts w:ascii="Calibri" w:hAnsi="Calibri" w:cs="Calibri" w:asciiTheme="majorHAnsi" w:cstheme="majorHAnsi" w:hAnsiTheme="majorHAnsi"/>
          <w:color w:themeColor="text1" w:val="000000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  <w:u w:val="single"/>
        </w:rPr>
        <w:t>Weryfikacja statusu Wykonawcy odbędzie się na podstawie oświadczenia Wykonawcy o spełnieniu warunków udziału w postępowaniu (wzór oświadczenia stanowi Załącznik nr 2 do Zapytania ofertowego).</w:t>
      </w:r>
    </w:p>
    <w:p>
      <w:pPr>
        <w:pStyle w:val="Default"/>
        <w:spacing w:lineRule="auto" w:line="276"/>
        <w:jc w:val="both"/>
        <w:rPr>
          <w:rFonts w:ascii="Calibri" w:hAnsi="Calibri" w:cs="Calibri" w:asciiTheme="majorHAnsi" w:cstheme="majorHAnsi" w:hAnsiTheme="majorHAnsi"/>
          <w:color w:val="auto"/>
          <w:sz w:val="16"/>
          <w:szCs w:val="16"/>
        </w:rPr>
      </w:pPr>
      <w:r>
        <w:rPr>
          <w:rFonts w:cs="Calibri" w:cstheme="majorHAnsi" w:ascii="Calibri" w:hAnsi="Calibri"/>
          <w:color w:val="auto"/>
          <w:sz w:val="16"/>
          <w:szCs w:val="16"/>
        </w:rPr>
      </w:r>
    </w:p>
    <w:p>
      <w:pPr>
        <w:pStyle w:val="Default"/>
        <w:numPr>
          <w:ilvl w:val="0"/>
          <w:numId w:val="14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color w:val="auto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color w:val="auto"/>
          <w:sz w:val="22"/>
          <w:szCs w:val="22"/>
        </w:rPr>
        <w:t>Warunek w zakresie doświadczenia:</w:t>
      </w:r>
    </w:p>
    <w:p>
      <w:pPr>
        <w:pStyle w:val="Normal"/>
        <w:spacing w:lineRule="auto" w:line="276"/>
        <w:ind w:hanging="0" w:left="0"/>
        <w:jc w:val="both"/>
        <w:rPr>
          <w:rStyle w:val="Strong"/>
          <w:rFonts w:ascii="Calibri" w:hAnsi="Calibri" w:cs="Calibri" w:asciiTheme="majorHAnsi" w:cstheme="majorHAnsi" w:hAnsiTheme="majorHAnsi"/>
          <w:b w:val="false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Zamawiający wymaga aby Wykonawca – wykazał się posiadanym doświadczeniem </w:t>
      </w:r>
      <w:bookmarkStart w:id="0" w:name="_Hlk528754632"/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w zakresie świadczenia usług lub dostaw </w:t>
      </w:r>
      <w:r>
        <w:rPr>
          <w:rStyle w:val="Strong"/>
          <w:rFonts w:cs="Calibri" w:ascii="Calibri" w:hAnsi="Calibri" w:asciiTheme="majorHAnsi" w:cstheme="majorHAnsi" w:hAnsiTheme="majorHAnsi"/>
          <w:b w:val="false"/>
          <w:sz w:val="22"/>
          <w:szCs w:val="22"/>
        </w:rPr>
        <w:t xml:space="preserve">odpowiadających swoim rodzajem usługom lub 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>dostawom</w:t>
      </w:r>
      <w:r>
        <w:rPr>
          <w:rStyle w:val="Strong"/>
          <w:rFonts w:cs="Calibri" w:ascii="Calibri" w:hAnsi="Calibri" w:asciiTheme="majorHAnsi" w:cstheme="majorHAnsi" w:hAnsiTheme="majorHAnsi"/>
          <w:b w:val="false"/>
          <w:sz w:val="22"/>
          <w:szCs w:val="22"/>
        </w:rPr>
        <w:t xml:space="preserve"> określonych treścią z opisu przedmiotu zamówienia.</w:t>
      </w:r>
      <w:bookmarkEnd w:id="0"/>
    </w:p>
    <w:p>
      <w:pPr>
        <w:pStyle w:val="Normal"/>
        <w:spacing w:lineRule="auto" w:line="276"/>
        <w:ind w:hanging="0" w:left="0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Zamawiający uzna w/w warunek za spełniony, jeżeli </w:t>
      </w:r>
      <w:bookmarkStart w:id="1" w:name="_Hlk528754785"/>
      <w:r>
        <w:rPr>
          <w:rFonts w:cs="Calibri" w:ascii="Calibri" w:hAnsi="Calibri" w:asciiTheme="majorHAnsi" w:cstheme="majorHAnsi" w:hAnsiTheme="majorHAnsi"/>
          <w:sz w:val="22"/>
          <w:szCs w:val="22"/>
        </w:rPr>
        <w:t>Wykonawca w okresie ostatniego roku przed upływem terminu składania ofert (a jeżeli okres prowadzenia działalności jest krótszy - w tym okresie), należycie wykonał (a w przypadku świadczeń okresowych lub ciągłych również wykonuje): min. 2 usługi lub dostawy odpowiadających swoim rodzajem przedmiotowi zamówienia</w:t>
      </w:r>
      <w:bookmarkEnd w:id="1"/>
      <w:r>
        <w:rPr>
          <w:rFonts w:cs="Calibri" w:ascii="Calibri" w:hAnsi="Calibri" w:asciiTheme="majorHAnsi" w:cstheme="majorHAnsi" w:hAnsiTheme="majorHAnsi"/>
          <w:sz w:val="22"/>
          <w:szCs w:val="22"/>
        </w:rPr>
        <w:t>.</w:t>
      </w:r>
    </w:p>
    <w:p>
      <w:pPr>
        <w:pStyle w:val="Default"/>
        <w:spacing w:lineRule="auto" w:line="276"/>
        <w:jc w:val="both"/>
        <w:rPr>
          <w:rFonts w:ascii="Calibri" w:hAnsi="Calibri" w:cs="Calibri" w:asciiTheme="majorHAnsi" w:cstheme="majorHAnsi" w:hAnsiTheme="majorHAnsi"/>
          <w:sz w:val="22"/>
          <w:szCs w:val="22"/>
          <w:u w:val="single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  <w:u w:val="single"/>
        </w:rPr>
        <w:t>Wykonawca wraz z ofertą zobowiązany jest do złożenia oświadczenia (wzór oświadczenia stanowi Załącznik nr 2 do Zapytania ofertowego) potwierdzającego spełnianie warunku udziału w postępowaniu.</w:t>
      </w:r>
    </w:p>
    <w:p>
      <w:pPr>
        <w:pStyle w:val="Default"/>
        <w:spacing w:lineRule="auto" w:line="276"/>
        <w:jc w:val="both"/>
        <w:rPr>
          <w:rFonts w:ascii="Calibri" w:hAnsi="Calibri" w:cs="Calibri" w:asciiTheme="majorHAnsi" w:cstheme="majorHAnsi" w:hAnsiTheme="majorHAnsi"/>
          <w:sz w:val="16"/>
          <w:szCs w:val="16"/>
          <w:u w:val="single"/>
        </w:rPr>
      </w:pPr>
      <w:r>
        <w:rPr>
          <w:rFonts w:cs="Calibri" w:cstheme="majorHAnsi" w:ascii="Calibri" w:hAnsi="Calibri"/>
          <w:sz w:val="16"/>
          <w:szCs w:val="16"/>
          <w:u w:val="single"/>
        </w:rPr>
      </w:r>
    </w:p>
    <w:p>
      <w:pPr>
        <w:pStyle w:val="Default"/>
        <w:numPr>
          <w:ilvl w:val="0"/>
          <w:numId w:val="14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Warunek w zakresie zdolności ekonomicznej i finansowej:</w:t>
      </w:r>
    </w:p>
    <w:p>
      <w:pPr>
        <w:pStyle w:val="Default"/>
        <w:spacing w:lineRule="auto" w:line="276"/>
        <w:ind w:hanging="0" w:left="0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Zamawiający nie stawia w tym zakresie szczegółowego opisu spełniania warunku udziału w postępowaniu. Ocena spełniania warunku udziału w postępowaniu nastąpi w oparciu o złożone przez Wykonawcę do oferty oświadczenie, potwierdzające, że Wykonawca znajduje się w sytuacji ekonomicznej i finansowej zapewniającej wykonanie przedmiotowego zamówienia.</w:t>
      </w:r>
    </w:p>
    <w:p>
      <w:pPr>
        <w:pStyle w:val="Default"/>
        <w:spacing w:lineRule="auto" w:line="276"/>
        <w:jc w:val="both"/>
        <w:rPr>
          <w:rFonts w:ascii="Calibri" w:hAnsi="Calibri" w:cs="Calibri" w:asciiTheme="majorHAnsi" w:cstheme="majorHAnsi" w:hAnsiTheme="majorHAnsi"/>
          <w:sz w:val="22"/>
          <w:szCs w:val="22"/>
          <w:u w:val="single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  <w:u w:val="single"/>
        </w:rPr>
        <w:t>Wykonawca wraz z ofertą zobowiązany jest do złożenia oświadczenia (wzór oświadczenia stanowi Załącznik nr 2 do Zapytania ofertowego) potwierdzającego spełnianie warunku udziału w postępowaniu.</w:t>
      </w:r>
    </w:p>
    <w:p>
      <w:pPr>
        <w:pStyle w:val="Default"/>
        <w:spacing w:lineRule="auto" w:line="276"/>
        <w:jc w:val="both"/>
        <w:rPr>
          <w:rFonts w:ascii="Calibri" w:hAnsi="Calibri" w:cs="Calibri" w:asciiTheme="majorHAnsi" w:cstheme="majorHAnsi" w:hAnsiTheme="majorHAnsi"/>
          <w:sz w:val="16"/>
          <w:szCs w:val="16"/>
          <w:u w:val="single"/>
        </w:rPr>
      </w:pPr>
      <w:r>
        <w:rPr>
          <w:rFonts w:cs="Calibri" w:cstheme="majorHAnsi" w:ascii="Calibri" w:hAnsi="Calibri"/>
          <w:sz w:val="16"/>
          <w:szCs w:val="16"/>
          <w:u w:val="single"/>
        </w:rPr>
      </w:r>
    </w:p>
    <w:p>
      <w:pPr>
        <w:pStyle w:val="Default"/>
        <w:numPr>
          <w:ilvl w:val="0"/>
          <w:numId w:val="14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Oprócz oświadczenia, którego wzór stanowi Załącznik nr 2 do Zapytania ofertowego Wykonawca winien złożyć wraz z ofertą:</w:t>
      </w:r>
    </w:p>
    <w:p>
      <w:pPr>
        <w:pStyle w:val="Default"/>
        <w:numPr>
          <w:ilvl w:val="0"/>
          <w:numId w:val="9"/>
        </w:numPr>
        <w:spacing w:lineRule="auto" w:line="276"/>
        <w:ind w:hanging="283" w:left="709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prawidłowo wypełniony i podpisany Formularz ofertowy, stanowiący Załącznik nr 1 do Zapytania ofertowego;</w:t>
      </w:r>
    </w:p>
    <w:p>
      <w:pPr>
        <w:pStyle w:val="Default"/>
        <w:numPr>
          <w:ilvl w:val="0"/>
          <w:numId w:val="9"/>
        </w:numPr>
        <w:spacing w:lineRule="auto" w:line="276"/>
        <w:ind w:hanging="283" w:left="709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odpis właściwego rejestru lub z centralnej ewidencji i informacji o działalności gospodarczej, jeżeli odrębne przepisy wymagają wpisu do rejestru lub ewidencji;</w:t>
      </w:r>
    </w:p>
    <w:p>
      <w:pPr>
        <w:pStyle w:val="Default"/>
        <w:numPr>
          <w:ilvl w:val="0"/>
          <w:numId w:val="9"/>
        </w:numPr>
        <w:spacing w:lineRule="auto" w:line="276"/>
        <w:ind w:hanging="283" w:left="709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aktualny dokument potwierdzający status Wykonawcy, o którym mowa w rozdziale VI pkt 1 Zapytania ofertowego;</w:t>
      </w:r>
    </w:p>
    <w:p>
      <w:pPr>
        <w:pStyle w:val="Normal"/>
        <w:shd w:val="clear" w:color="auto" w:fill="D9D9D9" w:themeFill="background1" w:themeFillShade="d9"/>
        <w:spacing w:lineRule="auto" w:line="276" w:before="120" w:after="120"/>
        <w:jc w:val="both"/>
        <w:rPr>
          <w:rFonts w:ascii="Calibri" w:hAnsi="Calibri" w:cs="Calibri" w:asciiTheme="majorHAnsi" w:cstheme="majorHAnsi" w:hAnsiTheme="majorHAnsi"/>
          <w:b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/>
          <w:sz w:val="22"/>
          <w:szCs w:val="22"/>
        </w:rPr>
        <w:t xml:space="preserve">VII. KRYTERIUM OCENY OFERT I </w:t>
      </w:r>
      <w:r>
        <w:rPr>
          <w:rFonts w:cs="Calibri" w:ascii="Calibri" w:hAnsi="Calibri" w:asciiTheme="majorHAnsi" w:cstheme="majorHAnsi" w:hAnsiTheme="majorHAnsi"/>
          <w:b/>
          <w:bCs/>
          <w:sz w:val="22"/>
          <w:szCs w:val="22"/>
        </w:rPr>
        <w:t>OPIS SPOSOBU PRZYZNAWANIA PUNKTACJI</w:t>
      </w:r>
    </w:p>
    <w:p>
      <w:pPr>
        <w:pStyle w:val="ListParagraph"/>
        <w:numPr>
          <w:ilvl w:val="3"/>
          <w:numId w:val="7"/>
        </w:numPr>
        <w:spacing w:lineRule="auto" w:line="276"/>
        <w:ind w:hanging="284" w:left="284"/>
        <w:jc w:val="both"/>
        <w:rPr>
          <w:rFonts w:ascii="Calibri" w:hAnsi="Calibri" w:eastAsia="Andale Sans UI" w:cs="Calibri" w:asciiTheme="majorHAnsi" w:cstheme="majorHAnsi" w:hAnsiTheme="majorHAnsi"/>
          <w:bCs/>
          <w:sz w:val="22"/>
          <w:szCs w:val="22"/>
        </w:rPr>
      </w:pPr>
      <w:r>
        <w:rPr>
          <w:rFonts w:eastAsia="Andale Sans UI" w:cs="Calibri" w:ascii="Calibri" w:hAnsi="Calibri" w:asciiTheme="majorHAnsi" w:cstheme="majorHAnsi" w:hAnsiTheme="majorHAnsi"/>
          <w:bCs/>
          <w:sz w:val="22"/>
          <w:szCs w:val="22"/>
        </w:rPr>
        <w:t>Przy wyborze oferty Zamawiający będzie się kierował kryterium: cena oferty brutto – waga 100%</w:t>
      </w:r>
    </w:p>
    <w:p>
      <w:pPr>
        <w:pStyle w:val="Normal"/>
        <w:widowControl/>
        <w:suppressAutoHyphens w:val="false"/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color w:val="000000"/>
          <w:kern w:val="0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color w:val="000000"/>
          <w:kern w:val="0"/>
          <w:sz w:val="22"/>
          <w:szCs w:val="22"/>
        </w:rPr>
        <w:t xml:space="preserve">2. Oferta najkorzystniejsza rozumiana jest jako oferta kompletna pod względem formalnym zawierająca najkorzystniejszą (najniższą) cenę. </w:t>
      </w:r>
    </w:p>
    <w:p>
      <w:pPr>
        <w:pStyle w:val="Default"/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bCs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Cs/>
          <w:sz w:val="22"/>
          <w:szCs w:val="22"/>
        </w:rPr>
        <w:t xml:space="preserve">3. </w:t>
      </w:r>
      <w:r>
        <w:rPr>
          <w:rFonts w:eastAsia="Andale Sans UI" w:cs="Calibri" w:ascii="Calibri" w:hAnsi="Calibri" w:asciiTheme="majorHAnsi" w:cstheme="majorHAnsi" w:hAnsiTheme="majorHAnsi"/>
          <w:bCs/>
          <w:sz w:val="22"/>
          <w:szCs w:val="22"/>
        </w:rPr>
        <w:t>Zamawiający dokona oceny ofert przy zastosowaniu kryterium cena według podanego niżej wzoru:</w:t>
      </w:r>
    </w:p>
    <w:p>
      <w:pPr>
        <w:pStyle w:val="Normal"/>
        <w:tabs>
          <w:tab w:val="clear" w:pos="708"/>
          <w:tab w:val="left" w:pos="284" w:leader="none"/>
        </w:tabs>
        <w:spacing w:lineRule="auto" w:line="276"/>
        <w:jc w:val="both"/>
        <w:rPr>
          <w:rFonts w:ascii="Calibri" w:hAnsi="Calibri" w:eastAsia="Andale Sans UI" w:cs="Calibri" w:asciiTheme="majorHAnsi" w:cstheme="majorHAnsi" w:hAnsiTheme="majorHAnsi"/>
          <w:bCs/>
          <w:sz w:val="16"/>
          <w:szCs w:val="16"/>
        </w:rPr>
      </w:pPr>
      <w:r>
        <w:rPr>
          <w:rFonts w:eastAsia="Andale Sans UI" w:cs="Calibri" w:cstheme="majorHAnsi" w:ascii="Calibri" w:hAnsi="Calibri"/>
          <w:bCs/>
          <w:sz w:val="16"/>
          <w:szCs w:val="16"/>
        </w:rPr>
      </w:r>
    </w:p>
    <w:p>
      <w:pPr>
        <w:pStyle w:val="Normal"/>
        <w:tabs>
          <w:tab w:val="clear" w:pos="708"/>
          <w:tab w:val="left" w:pos="284" w:leader="none"/>
        </w:tabs>
        <w:ind w:hanging="0" w:left="567"/>
        <w:jc w:val="both"/>
        <w:rPr>
          <w:rFonts w:ascii="Calibri" w:hAnsi="Calibri" w:eastAsia="Andale Sans UI" w:cs="Calibri" w:asciiTheme="majorHAnsi" w:cstheme="majorHAnsi" w:hAnsiTheme="majorHAnsi"/>
          <w:b/>
          <w:bCs/>
          <w:sz w:val="22"/>
          <w:szCs w:val="22"/>
        </w:rPr>
      </w:pPr>
      <w:r>
        <w:rPr>
          <w:rFonts w:eastAsia="Andale Sans UI" w:cs="Calibri" w:ascii="Calibri" w:hAnsi="Calibri" w:asciiTheme="majorHAnsi" w:cstheme="majorHAnsi" w:hAnsiTheme="majorHAnsi"/>
          <w:b/>
          <w:bCs/>
          <w:sz w:val="22"/>
          <w:szCs w:val="22"/>
        </w:rPr>
        <w:t xml:space="preserve">P – łączna ocena oferty </w:t>
      </w:r>
    </w:p>
    <w:p>
      <w:pPr>
        <w:pStyle w:val="Normal"/>
        <w:jc w:val="both"/>
        <w:rPr>
          <w:rFonts w:ascii="Calibri" w:hAnsi="Calibri" w:eastAsia="Andale Sans UI" w:cs="Calibri" w:asciiTheme="majorHAnsi" w:cstheme="majorHAnsi" w:hAnsiTheme="majorHAnsi"/>
          <w:b/>
          <w:bCs/>
          <w:sz w:val="16"/>
          <w:szCs w:val="16"/>
        </w:rPr>
      </w:pPr>
      <w:r>
        <w:rPr>
          <w:rFonts w:eastAsia="Andale Sans UI" w:cs="Calibri" w:cstheme="majorHAnsi" w:ascii="Calibri" w:hAnsi="Calibri"/>
          <w:b/>
          <w:bCs/>
          <w:sz w:val="16"/>
          <w:szCs w:val="16"/>
        </w:rPr>
      </w:r>
    </w:p>
    <w:p>
      <w:pPr>
        <w:pStyle w:val="Normal"/>
        <w:ind w:hanging="0" w:right="1134"/>
        <w:jc w:val="center"/>
        <w:rPr>
          <w:rFonts w:ascii="Calibri" w:hAnsi="Calibri" w:eastAsia="Andale Sans UI" w:cs="Calibri" w:asciiTheme="majorHAnsi" w:cstheme="majorHAnsi" w:hAnsiTheme="majorHAnsi"/>
          <w:b/>
          <w:bCs/>
          <w:sz w:val="22"/>
          <w:szCs w:val="22"/>
        </w:rPr>
      </w:pPr>
      <w:r>
        <w:rPr>
          <w:rFonts w:eastAsia="Andale Sans UI" w:cs="Calibri" w:ascii="Calibri" w:hAnsi="Calibri" w:asciiTheme="majorHAnsi" w:cstheme="majorHAnsi" w:hAnsiTheme="majorHAnsi"/>
          <w:b/>
          <w:bCs/>
          <w:sz w:val="22"/>
          <w:szCs w:val="22"/>
        </w:rPr>
        <w:t>najniższa oferowana cena</w:t>
      </w:r>
    </w:p>
    <w:p>
      <w:pPr>
        <w:pStyle w:val="Normal"/>
        <w:jc w:val="center"/>
        <w:rPr>
          <w:rFonts w:ascii="Calibri" w:hAnsi="Calibri" w:eastAsia="Andale Sans UI" w:cs="Calibri" w:asciiTheme="majorHAnsi" w:cstheme="majorHAnsi" w:hAnsiTheme="majorHAnsi"/>
          <w:b/>
          <w:bCs/>
          <w:sz w:val="22"/>
          <w:szCs w:val="22"/>
        </w:rPr>
      </w:pPr>
      <w:r>
        <w:rPr>
          <w:rFonts w:eastAsia="Andale Sans UI" w:cs="Calibri" w:ascii="Calibri" w:hAnsi="Calibri" w:asciiTheme="majorHAnsi" w:cstheme="majorHAnsi" w:hAnsiTheme="majorHAnsi"/>
          <w:b/>
          <w:bCs/>
          <w:sz w:val="22"/>
          <w:szCs w:val="22"/>
        </w:rPr>
        <w:t xml:space="preserve">P </w:t>
      </w:r>
      <w:r>
        <w:rPr>
          <w:rFonts w:eastAsia="Andale Sans UI" w:cs="Calibri" w:ascii="Calibri" w:hAnsi="Calibri" w:asciiTheme="majorHAnsi" w:cstheme="majorHAnsi" w:hAnsiTheme="majorHAnsi"/>
          <w:b/>
          <w:bCs/>
          <w:i/>
          <w:iCs/>
          <w:sz w:val="22"/>
          <w:szCs w:val="22"/>
        </w:rPr>
        <w:t xml:space="preserve">=    </w:t>
      </w:r>
      <w:r>
        <w:rPr>
          <w:rFonts w:eastAsia="Andale Sans UI" w:cs="Calibri" w:ascii="Calibri" w:hAnsi="Calibri" w:asciiTheme="majorHAnsi" w:cstheme="majorHAnsi" w:hAnsiTheme="majorHAnsi"/>
          <w:b/>
          <w:bCs/>
          <w:i/>
          <w:iCs/>
          <w:strike/>
          <w:sz w:val="22"/>
          <w:szCs w:val="22"/>
        </w:rPr>
        <w:t xml:space="preserve">                                                   </w:t>
      </w:r>
      <w:r>
        <w:rPr>
          <w:rFonts w:eastAsia="Andale Sans UI" w:cs="Calibri" w:ascii="Calibri" w:hAnsi="Calibri" w:asciiTheme="majorHAnsi" w:cstheme="majorHAnsi" w:hAnsiTheme="majorHAnsi"/>
          <w:b/>
          <w:bCs/>
          <w:i/>
          <w:iCs/>
          <w:sz w:val="22"/>
          <w:szCs w:val="22"/>
        </w:rPr>
        <w:t xml:space="preserve">  </w:t>
      </w:r>
      <w:r>
        <w:rPr>
          <w:rFonts w:eastAsia="Andale Sans UI" w:cs="Calibri" w:ascii="Calibri" w:hAnsi="Calibri" w:asciiTheme="majorHAnsi" w:cstheme="majorHAnsi" w:hAnsiTheme="majorHAnsi"/>
          <w:b/>
          <w:bCs/>
          <w:sz w:val="22"/>
          <w:szCs w:val="22"/>
        </w:rPr>
        <w:t>x 100 pkt x 100%</w:t>
      </w:r>
    </w:p>
    <w:p>
      <w:pPr>
        <w:pStyle w:val="Normal"/>
        <w:ind w:hanging="0" w:right="1134"/>
        <w:jc w:val="center"/>
        <w:rPr>
          <w:rFonts w:ascii="Calibri" w:hAnsi="Calibri" w:eastAsia="Andale Sans UI" w:cs="Calibri" w:asciiTheme="majorHAnsi" w:cstheme="majorHAnsi" w:hAnsiTheme="majorHAnsi"/>
          <w:b/>
          <w:bCs/>
          <w:sz w:val="22"/>
          <w:szCs w:val="22"/>
        </w:rPr>
      </w:pPr>
      <w:r>
        <w:rPr>
          <w:rFonts w:eastAsia="Andale Sans UI" w:cs="Calibri" w:ascii="Calibri" w:hAnsi="Calibri" w:asciiTheme="majorHAnsi" w:cstheme="majorHAnsi" w:hAnsiTheme="majorHAnsi"/>
          <w:b/>
          <w:bCs/>
          <w:sz w:val="22"/>
          <w:szCs w:val="22"/>
        </w:rPr>
        <w:t>cena badanej oferty</w:t>
      </w:r>
    </w:p>
    <w:p>
      <w:pPr>
        <w:pStyle w:val="Normal"/>
        <w:spacing w:lineRule="auto" w:line="276"/>
        <w:jc w:val="both"/>
        <w:rPr>
          <w:rFonts w:ascii="Calibri" w:hAnsi="Calibri" w:eastAsia="Andale Sans UI" w:cs="Calibri" w:asciiTheme="majorHAnsi" w:cstheme="majorHAnsi" w:hAnsiTheme="majorHAnsi"/>
          <w:bCs/>
          <w:sz w:val="16"/>
          <w:szCs w:val="16"/>
        </w:rPr>
      </w:pPr>
      <w:r>
        <w:rPr>
          <w:rFonts w:eastAsia="Andale Sans UI" w:cs="Calibri" w:cstheme="majorHAnsi" w:ascii="Calibri" w:hAnsi="Calibri"/>
          <w:bCs/>
          <w:sz w:val="16"/>
          <w:szCs w:val="16"/>
        </w:rPr>
      </w:r>
    </w:p>
    <w:p>
      <w:pPr>
        <w:pStyle w:val="Normal"/>
        <w:shd w:val="clear" w:color="auto" w:fill="D9D9D9" w:themeFill="background1" w:themeFillShade="d9"/>
        <w:spacing w:lineRule="auto" w:line="276" w:before="120" w:after="120"/>
        <w:jc w:val="both"/>
        <w:rPr>
          <w:rFonts w:ascii="Calibri" w:hAnsi="Calibri" w:cs="Calibri" w:asciiTheme="majorHAnsi" w:cstheme="majorHAnsi" w:hAnsiTheme="majorHAnsi"/>
          <w:b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/>
          <w:sz w:val="22"/>
          <w:szCs w:val="22"/>
        </w:rPr>
        <w:t>VIII. OPIS SPOSOBU PRZYGOTOWANIA OFERTY ORAZ TERMIN I MIEJSCE SKŁADANIA OFERT</w:t>
      </w:r>
    </w:p>
    <w:p>
      <w:pPr>
        <w:pStyle w:val="Normal"/>
        <w:numPr>
          <w:ilvl w:val="0"/>
          <w:numId w:val="8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ajorHAnsi" w:cstheme="majorHAnsi" w:hAnsiTheme="majorHAnsi"/>
          <w:bCs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Wykonawca może złożyć tylko jedną ofertę w formie pisemnej (ręcznie, na maszynie lub w postaci wydruku komputerowego) lub przesłać skan dokumentacji na mail: </w:t>
      </w:r>
      <w:r>
        <w:rPr>
          <w:rStyle w:val="InternetLink"/>
          <w:rFonts w:cs="Calibri" w:ascii="Calibri" w:hAnsi="Calibri" w:asciiTheme="majorHAnsi" w:cstheme="majorHAnsi" w:hAnsiTheme="majorHAnsi"/>
          <w:color w:val="2A6099"/>
          <w:sz w:val="22"/>
          <w:szCs w:val="22"/>
          <w:u w:val="none"/>
        </w:rPr>
        <w:t>kinga.wnuk@pcpr-naklo.pl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  zapewniającej pełną czytelność jej treści.</w:t>
      </w:r>
    </w:p>
    <w:p>
      <w:pPr>
        <w:pStyle w:val="Normal"/>
        <w:numPr>
          <w:ilvl w:val="0"/>
          <w:numId w:val="8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ajorHAnsi" w:cstheme="majorHAnsi" w:hAnsiTheme="majorHAnsi"/>
          <w:bCs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Oferta oraz wszystkie załączniki do oferty stanowiące dokumenty i oświadczenia Wykonawcy nie mogą być złożone w innym języku niż język polski.</w:t>
      </w:r>
    </w:p>
    <w:p>
      <w:pPr>
        <w:pStyle w:val="Normal"/>
        <w:numPr>
          <w:ilvl w:val="0"/>
          <w:numId w:val="8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ajorHAnsi" w:cstheme="majorHAnsi" w:hAnsiTheme="majorHAnsi"/>
          <w:bCs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Oferta oraz dokumenty i oświadczenia Wykonawcy muszą być podpisane przez Wykonawcę lub inne osoby upoważnione do reprezentowania Wykonawcy. Przy czym w przypadku, gdy Wykonawca upoważnił inne osoby do reprezentowania go w postępowaniu, Wykonawca składa wraz z ofertą oryginał pełnomocnictwa do działania innych osób w jego imieniu lub notarialnie poświadczony odpis pełnomocnictwa.</w:t>
      </w:r>
    </w:p>
    <w:p>
      <w:pPr>
        <w:pStyle w:val="Normal"/>
        <w:numPr>
          <w:ilvl w:val="0"/>
          <w:numId w:val="8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ajorHAnsi" w:cstheme="majorHAnsi" w:hAnsiTheme="majorHAnsi"/>
          <w:bCs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Dokumenty należy złożyć w oryginale lub kopii poświadczonej za zgodność z oryginałem, przez Wykonawcę lub inne osoby upoważnione do reprezentowania Wykonawcy.</w:t>
      </w:r>
    </w:p>
    <w:p>
      <w:pPr>
        <w:pStyle w:val="Normal"/>
        <w:numPr>
          <w:ilvl w:val="0"/>
          <w:numId w:val="8"/>
        </w:numPr>
        <w:spacing w:lineRule="auto" w:line="276"/>
        <w:ind w:hanging="284" w:left="284"/>
        <w:jc w:val="both"/>
        <w:rPr>
          <w:rFonts w:ascii="Calibri" w:hAnsi="Calibri" w:eastAsia="Times New Roman" w:cs="Calibri" w:asciiTheme="majorHAnsi" w:cstheme="majorHAnsi" w:hAnsiTheme="majorHAnsi"/>
          <w:bCs/>
          <w:sz w:val="22"/>
          <w:szCs w:val="22"/>
        </w:rPr>
      </w:pP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>Pisemną formę</w:t>
      </w:r>
      <w:r>
        <w:rPr>
          <w:rFonts w:eastAsia="TimesNewRoman" w:cs="Calibri" w:ascii="Calibri" w:hAnsi="Calibri" w:asciiTheme="majorHAnsi" w:cstheme="majorHAnsi" w:hAnsiTheme="majorHAnsi"/>
          <w:sz w:val="22"/>
          <w:szCs w:val="22"/>
        </w:rPr>
        <w:t xml:space="preserve"> </w:t>
      </w: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>nale</w:t>
      </w:r>
      <w:r>
        <w:rPr>
          <w:rFonts w:eastAsia="TimesNewRoman" w:cs="Calibri" w:ascii="Calibri" w:hAnsi="Calibri" w:asciiTheme="majorHAnsi" w:cstheme="majorHAnsi" w:hAnsiTheme="majorHAnsi"/>
          <w:sz w:val="22"/>
          <w:szCs w:val="22"/>
        </w:rPr>
        <w:t>ż</w:t>
      </w: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>y zło</w:t>
      </w:r>
      <w:r>
        <w:rPr>
          <w:rFonts w:eastAsia="TimesNewRoman" w:cs="Calibri" w:ascii="Calibri" w:hAnsi="Calibri" w:asciiTheme="majorHAnsi" w:cstheme="majorHAnsi" w:hAnsiTheme="majorHAnsi"/>
          <w:sz w:val="22"/>
          <w:szCs w:val="22"/>
        </w:rPr>
        <w:t>ż</w:t>
      </w: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>y</w:t>
      </w:r>
      <w:r>
        <w:rPr>
          <w:rFonts w:eastAsia="TimesNewRoman" w:cs="Calibri" w:ascii="Calibri" w:hAnsi="Calibri" w:asciiTheme="majorHAnsi" w:cstheme="majorHAnsi" w:hAnsiTheme="majorHAnsi"/>
          <w:sz w:val="22"/>
          <w:szCs w:val="22"/>
        </w:rPr>
        <w:t xml:space="preserve">ć </w:t>
      </w: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>w zamkniętej kopercie w sekretariacie (piętro 2) w siedzibie Zamawiaj</w:t>
      </w:r>
      <w:r>
        <w:rPr>
          <w:rFonts w:eastAsia="TimesNewRoman" w:cs="Calibri" w:ascii="Calibri" w:hAnsi="Calibri" w:asciiTheme="majorHAnsi" w:cstheme="majorHAnsi" w:hAnsiTheme="majorHAnsi"/>
          <w:sz w:val="22"/>
          <w:szCs w:val="22"/>
        </w:rPr>
        <w:t>ą</w:t>
      </w: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 xml:space="preserve">cego (Powiatowe Centrum Pomocy Rodzinie w Nakle nad Notecią przy ul. Dąbrowskiego 46) do dnia </w:t>
      </w:r>
      <w:r>
        <w:rPr>
          <w:rFonts w:eastAsia="Times New Roman" w:cs="Calibri" w:ascii="Calibri" w:hAnsi="Calibri" w:asciiTheme="majorHAnsi" w:cstheme="majorHAnsi" w:hAnsiTheme="majorHAnsi"/>
          <w:b/>
          <w:bCs/>
          <w:sz w:val="22"/>
          <w:szCs w:val="22"/>
        </w:rPr>
        <w:t>20</w:t>
      </w:r>
      <w:r>
        <w:rPr>
          <w:rFonts w:eastAsia="Times New Roman" w:cs="Calibri" w:ascii="Calibri" w:hAnsi="Calibri" w:asciiTheme="majorHAnsi" w:cstheme="majorHAnsi" w:hAnsiTheme="majorHAnsi"/>
          <w:b/>
          <w:bCs/>
          <w:color w:val="000000"/>
          <w:sz w:val="22"/>
          <w:szCs w:val="22"/>
          <w:shd w:fill="auto" w:val="clear"/>
        </w:rPr>
        <w:t>.11.2025r.</w:t>
      </w:r>
    </w:p>
    <w:p>
      <w:pPr>
        <w:pStyle w:val="ListParagraph"/>
        <w:numPr>
          <w:ilvl w:val="0"/>
          <w:numId w:val="15"/>
        </w:numPr>
        <w:spacing w:lineRule="auto" w:line="276"/>
        <w:jc w:val="both"/>
        <w:rPr>
          <w:rFonts w:ascii="Calibri" w:hAnsi="Calibri" w:eastAsia="Times New Roman" w:cs="Calibri" w:asciiTheme="majorHAnsi" w:cstheme="majorHAnsi" w:hAnsiTheme="majorHAnsi"/>
          <w:sz w:val="22"/>
          <w:szCs w:val="22"/>
        </w:rPr>
      </w:pP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>Na kopercie należy wskazać oznaczenie Wykonawcy składającego ofertę oraz zaadresowa</w:t>
      </w:r>
      <w:r>
        <w:rPr>
          <w:rFonts w:eastAsia="TimesNewRoman" w:cs="Calibri" w:ascii="Calibri" w:hAnsi="Calibri" w:asciiTheme="majorHAnsi" w:cstheme="majorHAnsi" w:hAnsiTheme="majorHAnsi"/>
          <w:sz w:val="22"/>
          <w:szCs w:val="22"/>
        </w:rPr>
        <w:t xml:space="preserve">ć </w:t>
      </w: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>jak ni</w:t>
      </w:r>
      <w:r>
        <w:rPr>
          <w:rFonts w:eastAsia="TimesNewRoman" w:cs="Calibri" w:ascii="Calibri" w:hAnsi="Calibri" w:asciiTheme="majorHAnsi" w:cstheme="majorHAnsi" w:hAnsiTheme="majorHAnsi"/>
          <w:sz w:val="22"/>
          <w:szCs w:val="22"/>
        </w:rPr>
        <w:t>ż</w:t>
      </w: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>ej: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ajorHAnsi" w:cstheme="majorHAnsi" w:hAnsiTheme="majorHAnsi"/>
          <w:i/>
          <w:i/>
          <w:iCs/>
          <w:sz w:val="22"/>
          <w:szCs w:val="22"/>
        </w:rPr>
      </w:pPr>
      <w:r>
        <w:rPr>
          <w:rFonts w:eastAsia="Times New Roman" w:cs="Calibri" w:cstheme="majorHAnsi" w:ascii="Calibri" w:hAnsi="Calibri"/>
          <w:i/>
          <w:i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ajorHAnsi" w:cstheme="majorHAnsi" w:hAnsiTheme="majorHAnsi"/>
          <w:i/>
          <w:i/>
          <w:iCs/>
          <w:sz w:val="22"/>
          <w:szCs w:val="22"/>
        </w:rPr>
      </w:pPr>
      <w:r>
        <w:rPr>
          <w:rFonts w:eastAsia="Times New Roman" w:cs="Calibri" w:cstheme="majorHAnsi" w:ascii="Calibri" w:hAnsi="Calibri"/>
          <w:i/>
          <w:i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ajorHAnsi" w:cstheme="majorHAnsi" w:hAnsiTheme="majorHAnsi"/>
          <w:i/>
          <w:i/>
          <w:iCs/>
          <w:sz w:val="22"/>
          <w:szCs w:val="22"/>
        </w:rPr>
      </w:pPr>
      <w:r>
        <w:rPr>
          <w:rFonts w:eastAsia="Times New Roman" w:cs="Calibri" w:ascii="Calibri" w:hAnsi="Calibri" w:asciiTheme="majorHAnsi" w:cstheme="majorHAnsi" w:hAnsiTheme="majorHAnsi"/>
          <w:i/>
          <w:iCs/>
          <w:sz w:val="22"/>
          <w:szCs w:val="22"/>
        </w:rPr>
        <w:t>Powiatowe Centrum Pomocy Rodzinie w Nakle nad Notecią</w:t>
      </w:r>
    </w:p>
    <w:p>
      <w:pPr>
        <w:pStyle w:val="Normal"/>
        <w:spacing w:lineRule="auto" w:line="276"/>
        <w:jc w:val="center"/>
        <w:rPr>
          <w:rFonts w:ascii="Calibri" w:hAnsi="Calibri" w:eastAsia="TimesNewRoman" w:cs="Calibri" w:asciiTheme="majorHAnsi" w:cstheme="majorHAnsi" w:hAnsiTheme="majorHAnsi"/>
          <w:i/>
          <w:i/>
          <w:iCs/>
          <w:sz w:val="22"/>
          <w:szCs w:val="22"/>
        </w:rPr>
      </w:pPr>
      <w:r>
        <w:rPr>
          <w:rFonts w:eastAsia="Times New Roman" w:cs="Calibri" w:ascii="Calibri" w:hAnsi="Calibri" w:asciiTheme="majorHAnsi" w:cstheme="majorHAnsi" w:hAnsiTheme="majorHAnsi"/>
          <w:i/>
          <w:iCs/>
          <w:sz w:val="22"/>
          <w:szCs w:val="22"/>
        </w:rPr>
        <w:t>ul. Dąbrowskiego 46, 89 – 100 Nakło nad Notecią</w:t>
      </w:r>
    </w:p>
    <w:p>
      <w:pPr>
        <w:pStyle w:val="Normal"/>
        <w:spacing w:lineRule="auto" w:line="276"/>
        <w:jc w:val="center"/>
        <w:rPr>
          <w:rFonts w:ascii="Calibri" w:hAnsi="Calibri" w:cs="Calibri" w:asciiTheme="majorHAnsi" w:cstheme="majorHAnsi" w:hAnsiTheme="majorHAnsi"/>
          <w:i/>
          <w:i/>
          <w:sz w:val="22"/>
          <w:szCs w:val="22"/>
          <w:u w:val="single"/>
        </w:rPr>
      </w:pPr>
      <w:r>
        <w:rPr>
          <w:rFonts w:eastAsia="Times New Roman" w:cs="Calibri" w:ascii="Calibri" w:hAnsi="Calibri" w:asciiTheme="majorHAnsi" w:cstheme="majorHAnsi" w:hAnsiTheme="majorHAnsi"/>
          <w:i/>
          <w:iCs/>
          <w:sz w:val="22"/>
          <w:szCs w:val="22"/>
          <w:u w:val="single"/>
        </w:rPr>
        <w:t xml:space="preserve">Oferta na </w:t>
      </w:r>
      <w:r>
        <w:rPr>
          <w:rFonts w:cs="Calibri" w:ascii="Calibri" w:hAnsi="Calibri" w:asciiTheme="majorHAnsi" w:cstheme="majorHAnsi" w:hAnsiTheme="majorHAnsi"/>
          <w:i/>
          <w:sz w:val="22"/>
          <w:szCs w:val="22"/>
          <w:u w:val="single"/>
        </w:rPr>
        <w:t>zakup i dostawę materiałów edukacyjnych/dydaktycznych</w:t>
      </w:r>
    </w:p>
    <w:p>
      <w:pPr>
        <w:pStyle w:val="Normal"/>
        <w:spacing w:lineRule="auto" w:line="276"/>
        <w:jc w:val="center"/>
        <w:rPr>
          <w:rFonts w:ascii="Calibri" w:hAnsi="Calibri" w:eastAsia="Times New Roman" w:cs="Calibri" w:asciiTheme="majorHAnsi" w:cstheme="majorHAnsi" w:hAnsiTheme="majorHAnsi"/>
          <w:i/>
          <w:i/>
          <w:iCs/>
          <w:sz w:val="22"/>
          <w:szCs w:val="22"/>
          <w:u w:val="single"/>
        </w:rPr>
      </w:pPr>
      <w:r>
        <w:rPr>
          <w:rFonts w:cs="Calibri" w:ascii="Calibri" w:hAnsi="Calibri" w:asciiTheme="majorHAnsi" w:cstheme="majorHAnsi" w:hAnsiTheme="majorHAnsi"/>
          <w:i/>
          <w:sz w:val="22"/>
          <w:szCs w:val="22"/>
          <w:u w:val="single"/>
        </w:rPr>
        <w:t>w ramach projektu „Rodzina w Centrum Etap I”</w:t>
      </w:r>
      <w:r>
        <w:rPr>
          <w:rFonts w:eastAsia="Times New Roman" w:cs="Calibri" w:ascii="Calibri" w:hAnsi="Calibri" w:asciiTheme="majorHAnsi" w:cstheme="majorHAnsi" w:hAnsiTheme="majorHAnsi"/>
          <w:i/>
          <w:iCs/>
          <w:sz w:val="22"/>
          <w:szCs w:val="22"/>
          <w:u w:val="single"/>
        </w:rPr>
        <w:t>nie otwiera</w:t>
      </w:r>
      <w:r>
        <w:rPr>
          <w:rFonts w:eastAsia="TimesNewRoman" w:cs="Calibri" w:ascii="Calibri" w:hAnsi="Calibri" w:asciiTheme="majorHAnsi" w:cstheme="majorHAnsi" w:hAnsiTheme="majorHAnsi"/>
          <w:i/>
          <w:iCs/>
          <w:sz w:val="22"/>
          <w:szCs w:val="22"/>
          <w:u w:val="single"/>
        </w:rPr>
        <w:t xml:space="preserve">ć </w:t>
      </w:r>
      <w:r>
        <w:rPr>
          <w:rFonts w:eastAsia="Times New Roman" w:cs="Calibri" w:ascii="Calibri" w:hAnsi="Calibri" w:asciiTheme="majorHAnsi" w:cstheme="majorHAnsi" w:hAnsiTheme="majorHAnsi"/>
          <w:i/>
          <w:iCs/>
          <w:sz w:val="22"/>
          <w:szCs w:val="22"/>
          <w:u w:val="single"/>
        </w:rPr>
        <w:t>przed  21</w:t>
      </w:r>
      <w:r>
        <w:rPr>
          <w:rFonts w:eastAsia="Times New Roman" w:cs="Calibri" w:ascii="Calibri" w:hAnsi="Calibri"/>
          <w:i/>
          <w:iCs/>
          <w:sz w:val="22"/>
          <w:szCs w:val="22"/>
          <w:u w:val="single"/>
          <w:shd w:fill="auto" w:val="clear"/>
        </w:rPr>
        <w:t>.11.</w:t>
      </w:r>
      <w:r>
        <w:rPr>
          <w:rFonts w:eastAsia="Times New Roman" w:cs="Calibri" w:ascii="Calibri" w:hAnsi="Calibri"/>
          <w:i/>
          <w:iCs/>
          <w:color w:val="000000"/>
          <w:sz w:val="22"/>
          <w:szCs w:val="22"/>
          <w:u w:val="single"/>
          <w:shd w:fill="auto" w:val="clear"/>
        </w:rPr>
        <w:t>2025r, godz. 1</w:t>
      </w:r>
      <w:r>
        <w:rPr>
          <w:rFonts w:eastAsia="Times New Roman" w:cs="Calibri" w:ascii="Calibri" w:hAnsi="Calibri"/>
          <w:i/>
          <w:iCs/>
          <w:color w:val="000000"/>
          <w:sz w:val="22"/>
          <w:szCs w:val="22"/>
          <w:u w:val="single"/>
          <w:shd w:fill="auto" w:val="clear"/>
        </w:rPr>
        <w:t>0</w:t>
      </w:r>
      <w:r>
        <w:rPr>
          <w:rFonts w:eastAsia="Times New Roman" w:cs="Calibri" w:ascii="Calibri" w:hAnsi="Calibri"/>
          <w:i/>
          <w:iCs/>
          <w:color w:val="000000"/>
          <w:sz w:val="22"/>
          <w:szCs w:val="22"/>
          <w:u w:val="single"/>
          <w:shd w:fill="auto" w:val="clear"/>
        </w:rPr>
        <w:t>:00</w:t>
      </w:r>
    </w:p>
    <w:p>
      <w:pPr>
        <w:pStyle w:val="Normal"/>
        <w:spacing w:lineRule="auto" w:line="276"/>
        <w:ind w:hanging="283" w:left="567"/>
        <w:jc w:val="both"/>
        <w:rPr>
          <w:rFonts w:ascii="Calibri" w:hAnsi="Calibri" w:eastAsia="Times New Roman" w:cs="Calibri" w:asciiTheme="majorHAnsi" w:cstheme="majorHAnsi" w:hAnsiTheme="majorHAnsi"/>
          <w:sz w:val="22"/>
          <w:szCs w:val="22"/>
        </w:rPr>
      </w:pP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>2) Konsekwencje złożenia oferty niezgodnie z w/w opisem (np. potraktowanie oferty jako zwykłej korespondencji i nie dostarczenie jej na miejsce składania ofert po terminie określonym w Zapytaniu ofertowym) ponosi Wykonawca.</w:t>
      </w:r>
    </w:p>
    <w:p>
      <w:pPr>
        <w:pStyle w:val="Normal"/>
        <w:spacing w:lineRule="auto" w:line="276"/>
        <w:ind w:hanging="283" w:left="567"/>
        <w:jc w:val="both"/>
        <w:rPr>
          <w:rFonts w:ascii="Calibri" w:hAnsi="Calibri" w:eastAsia="Times New Roman" w:cs="Calibri" w:asciiTheme="majorHAnsi" w:cstheme="majorHAnsi" w:hAnsiTheme="majorHAnsi"/>
          <w:sz w:val="22"/>
          <w:szCs w:val="22"/>
        </w:rPr>
      </w:pP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>3) Wykonawca na wniosek otrzyma potwierdzenie złożenia oferty.</w:t>
      </w:r>
    </w:p>
    <w:p>
      <w:pPr>
        <w:pStyle w:val="Normal"/>
        <w:spacing w:lineRule="auto" w:line="276"/>
        <w:ind w:hanging="283" w:left="567"/>
        <w:jc w:val="both"/>
        <w:rPr>
          <w:rFonts w:ascii="Calibri" w:hAnsi="Calibri" w:eastAsia="Times New Roman" w:cs="Calibri" w:asciiTheme="majorHAnsi" w:cstheme="majorHAnsi" w:hAnsiTheme="majorHAnsi"/>
          <w:sz w:val="22"/>
          <w:szCs w:val="22"/>
        </w:rPr>
      </w:pPr>
      <w:r>
        <w:rPr>
          <w:rFonts w:eastAsia="Times New Roman" w:cs="Calibri" w:ascii="Calibri" w:hAnsi="Calibri" w:asciiTheme="majorHAnsi" w:cstheme="majorHAnsi" w:hAnsiTheme="majorHAnsi"/>
          <w:sz w:val="22"/>
          <w:szCs w:val="22"/>
        </w:rPr>
        <w:t>4) Oferta złożona po terminie zostanie niezwłocznie bez otwierania zwrócona Wykonawcy.</w:t>
      </w:r>
    </w:p>
    <w:p>
      <w:pPr>
        <w:pStyle w:val="ListParagraph"/>
        <w:widowControl/>
        <w:numPr>
          <w:ilvl w:val="0"/>
          <w:numId w:val="8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Otwarcie ofert nast</w:t>
      </w:r>
      <w:r>
        <w:rPr>
          <w:rFonts w:eastAsia="TimesNewRoman" w:cs="Calibri" w:ascii="Calibri" w:hAnsi="Calibri" w:asciiTheme="majorHAnsi" w:cstheme="majorHAnsi" w:hAnsiTheme="majorHAnsi"/>
          <w:sz w:val="22"/>
          <w:szCs w:val="22"/>
        </w:rPr>
        <w:t>ą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>pi w dniu</w:t>
      </w:r>
      <w:r>
        <w:rPr>
          <w:rFonts w:cs="Calibri" w:ascii="Calibri" w:hAnsi="Calibri" w:asciiTheme="majorHAnsi" w:cstheme="majorHAnsi" w:hAnsiTheme="majorHAnsi"/>
          <w:color w:val="FF4000"/>
          <w:sz w:val="22"/>
          <w:szCs w:val="22"/>
        </w:rPr>
        <w:t xml:space="preserve"> </w:t>
      </w:r>
      <w:r>
        <w:rPr>
          <w:rFonts w:cs="Calibri" w:ascii="Calibri" w:hAnsi="Calibri" w:asciiTheme="majorHAnsi" w:cstheme="majorHAnsi" w:hAnsiTheme="majorHAnsi"/>
          <w:color w:val="000000"/>
          <w:sz w:val="22"/>
          <w:szCs w:val="22"/>
        </w:rPr>
        <w:t>21.11.2025</w:t>
      </w:r>
      <w:r>
        <w:rPr>
          <w:rFonts w:cs="Calibri" w:ascii="Calibri" w:hAnsi="Calibri"/>
          <w:color w:val="000000"/>
          <w:sz w:val="22"/>
          <w:szCs w:val="22"/>
          <w:shd w:fill="auto" w:val="clear"/>
        </w:rPr>
        <w:t>. o godz.11:00 ,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 w siedzibie Powiatowego Centrum Pomocy Rodzinie w Nakle nad Notecią, ul Dąbrowskiego 46 . </w:t>
      </w:r>
    </w:p>
    <w:p>
      <w:pPr>
        <w:pStyle w:val="ListParagraph"/>
        <w:widowControl/>
        <w:numPr>
          <w:ilvl w:val="0"/>
          <w:numId w:val="8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W przypadku gdy Wykonawca złoży ofertę niekompletną pod względem formalnym, nie zawierającą wymaganych dokumentów lub oświadczeń, gdy dokumenty są nieczytelne lub w ofercie są inne błędy Zamawiający wyznaczy Wykonawcy odpowiedni termin na uzupełnienie oferty ze wskazaniem jej braków informując jednocześnie, że nie usunięcie braków w wyznaczonym terminie będzie skutkowało też odrzuceniem oferty jeżeli wskutek stwierdzonych błędów nie będzie możliwe dokonanie badania i oceny oferty.</w:t>
      </w:r>
    </w:p>
    <w:p>
      <w:pPr>
        <w:pStyle w:val="Normal"/>
        <w:shd w:val="clear" w:color="auto" w:fill="D9D9D9" w:themeFill="background1" w:themeFillShade="d9"/>
        <w:spacing w:lineRule="auto" w:line="276" w:before="120" w:after="120"/>
        <w:jc w:val="both"/>
        <w:rPr>
          <w:rFonts w:ascii="Calibri" w:hAnsi="Calibri" w:cs="Calibri" w:asciiTheme="majorHAnsi" w:cstheme="majorHAnsi" w:hAnsiTheme="majorHAnsi"/>
          <w:b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/>
          <w:sz w:val="22"/>
          <w:szCs w:val="22"/>
        </w:rPr>
        <w:t>IX. INFORMACJA O WYBORZE WYKONAWCY, TERMINIE I MIEJSCU PODPISANIA UMOWY:</w:t>
      </w:r>
    </w:p>
    <w:p>
      <w:pPr>
        <w:pStyle w:val="ListParagraph"/>
        <w:widowControl/>
        <w:numPr>
          <w:ilvl w:val="0"/>
          <w:numId w:val="4"/>
        </w:numPr>
        <w:spacing w:lineRule="auto" w:line="276"/>
        <w:ind w:hanging="283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Informacja o wyborze Wykonawcy, miejscu, terminie podpisania umowy zostanie przekazana telefonicznie, e-mail lub pocztą tradycyjną Wykonawcy, którego ofertę wybrano.</w:t>
      </w:r>
    </w:p>
    <w:p>
      <w:pPr>
        <w:pStyle w:val="ListParagraph"/>
        <w:widowControl/>
        <w:numPr>
          <w:ilvl w:val="0"/>
          <w:numId w:val="4"/>
        </w:numPr>
        <w:spacing w:lineRule="auto" w:line="276"/>
        <w:ind w:hanging="283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Z Wykonawcą, którego oferta zostanie wybrana, zostanie zawarta umowa w miejscu i na warunkach określonych przez Zamawiającego (wzór umowy stanowi Załącznik nr 3 do Zapytania ofertowego).</w:t>
      </w:r>
    </w:p>
    <w:p>
      <w:pPr>
        <w:pStyle w:val="ListParagraph"/>
        <w:widowControl/>
        <w:numPr>
          <w:ilvl w:val="0"/>
          <w:numId w:val="4"/>
        </w:numPr>
        <w:spacing w:lineRule="auto" w:line="276"/>
        <w:ind w:hanging="283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Zamawiający zastrzega sobie prawo zmiany treści umowy w stosunku do treści niniejszej oferty w przypadkach wskazanych we wzorze umowy, stanowiącym Załącznik nr 3 do niniejszego Zapytania ofertowego.</w:t>
      </w:r>
    </w:p>
    <w:p>
      <w:pPr>
        <w:pStyle w:val="ListParagraph"/>
        <w:widowControl/>
        <w:numPr>
          <w:ilvl w:val="0"/>
          <w:numId w:val="4"/>
        </w:numPr>
        <w:spacing w:lineRule="auto" w:line="276"/>
        <w:ind w:hanging="283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Jeżeli Wykonawca, którego oferta została wybrana, uchyla się od zawarcia umowy, Zamawiający może wybrać ofertę najkorzystniejszą spośród pozostałych ofert z zastrzeżeniem nieprzekroczenia wysokości środków zaplanowanych w budżecie projektu na realizację niniejszego zamówienia.</w:t>
      </w:r>
    </w:p>
    <w:p>
      <w:pPr>
        <w:pStyle w:val="ListParagraph"/>
        <w:widowControl/>
        <w:numPr>
          <w:ilvl w:val="0"/>
          <w:numId w:val="4"/>
        </w:numPr>
        <w:spacing w:lineRule="auto" w:line="276"/>
        <w:ind w:hanging="283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Zamawiający nie przewiduje możliwość udzielenia zamówień uzupełniających. </w:t>
      </w:r>
    </w:p>
    <w:p>
      <w:pPr>
        <w:pStyle w:val="ListParagraph"/>
        <w:widowControl/>
        <w:numPr>
          <w:ilvl w:val="0"/>
          <w:numId w:val="4"/>
        </w:numPr>
        <w:spacing w:lineRule="auto" w:line="276"/>
        <w:ind w:hanging="283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W postępowaniu oświadczenia, wnioski, zawiadomienia i inne informacje Zamawiający i Wykonawcy przekazują, osobiście, faksem, pocztą lub drogą elektroniczną.</w:t>
      </w:r>
    </w:p>
    <w:p>
      <w:pPr>
        <w:pStyle w:val="Normal"/>
        <w:shd w:val="clear" w:color="auto" w:fill="D9D9D9" w:themeFill="background1" w:themeFillShade="d9"/>
        <w:spacing w:lineRule="auto" w:line="276" w:before="120" w:after="120"/>
        <w:jc w:val="both"/>
        <w:rPr>
          <w:rFonts w:ascii="Calibri" w:hAnsi="Calibri" w:cs="Calibri" w:asciiTheme="majorHAnsi" w:cstheme="majorHAnsi" w:hAnsiTheme="majorHAnsi"/>
          <w:b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/>
          <w:sz w:val="22"/>
          <w:szCs w:val="22"/>
        </w:rPr>
        <w:t>X. INFORMACJE DODATKOWE</w:t>
      </w:r>
    </w:p>
    <w:p>
      <w:pPr>
        <w:pStyle w:val="ListParagraph"/>
        <w:widowControl/>
        <w:numPr>
          <w:ilvl w:val="0"/>
          <w:numId w:val="5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Zamawiający zastrzega sobie prawo do jednokrotnego wezwania do uzupełnienia dokumentów. W przypadku ich nieuzupełnienia oferta nie będzie uwzględniana w postępowaniu przy ocenie i badaniu. Wezwanie do uzupełnienia dokumentu nastąpi jednokrotnie na etapie wstępnej oceny ofert złożonych w postępowaniu oraz odrębne wezwanie podczas oceny dokumentów złożonych na wezwanie Zamawiającego, o którym mowa w Rozdziale VI Zapytania ofertowego.</w:t>
      </w:r>
    </w:p>
    <w:p>
      <w:pPr>
        <w:pStyle w:val="ListParagraph"/>
        <w:widowControl/>
        <w:numPr>
          <w:ilvl w:val="0"/>
          <w:numId w:val="5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Wezwanie do uzupełnienia dokumentów może obejmować:</w:t>
      </w:r>
    </w:p>
    <w:p>
      <w:pPr>
        <w:pStyle w:val="ListParagraph"/>
        <w:widowControl/>
        <w:numPr>
          <w:ilvl w:val="0"/>
          <w:numId w:val="10"/>
        </w:numPr>
        <w:spacing w:lineRule="auto" w:line="276"/>
        <w:ind w:hanging="284" w:left="851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Wezwanie do uzupełnienia w przypadku złożenia niekompletnych dokumentów,</w:t>
      </w:r>
    </w:p>
    <w:p>
      <w:pPr>
        <w:pStyle w:val="ListParagraph"/>
        <w:widowControl/>
        <w:numPr>
          <w:ilvl w:val="0"/>
          <w:numId w:val="10"/>
        </w:numPr>
        <w:spacing w:lineRule="auto" w:line="276"/>
        <w:ind w:hanging="284" w:left="851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Wezwanie do złożenia dokumentów jeśli nie zostały one złożone,</w:t>
      </w:r>
    </w:p>
    <w:p>
      <w:pPr>
        <w:pStyle w:val="ListParagraph"/>
        <w:widowControl/>
        <w:numPr>
          <w:ilvl w:val="0"/>
          <w:numId w:val="10"/>
        </w:numPr>
        <w:spacing w:lineRule="auto" w:line="276"/>
        <w:ind w:hanging="284" w:left="851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Wezwanie do poprawienia dokumentów jeżeli zawierają one błędy.</w:t>
      </w:r>
    </w:p>
    <w:p>
      <w:pPr>
        <w:pStyle w:val="ListParagraph"/>
        <w:widowControl/>
        <w:numPr>
          <w:ilvl w:val="0"/>
          <w:numId w:val="5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Zamawiający wzywa do złożenia pełnomocnictwa w przypadku, w którym Wykonawca nie przedłożył tego dokumentu w ofercie lub przedłożony w ofercie dokument zawiera wady (wadliwe pełnomocnictwo).</w:t>
      </w:r>
    </w:p>
    <w:p>
      <w:pPr>
        <w:pStyle w:val="ListParagraph"/>
        <w:widowControl/>
        <w:numPr>
          <w:ilvl w:val="0"/>
          <w:numId w:val="5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Zamawiający zastrzega sobie prawo zwracania się do Wykonawców o udzielenie wyjaśnień w zakresie treści złożonych przez nich ofert.</w:t>
      </w:r>
    </w:p>
    <w:p>
      <w:pPr>
        <w:pStyle w:val="ListParagraph"/>
        <w:widowControl/>
        <w:numPr>
          <w:ilvl w:val="0"/>
          <w:numId w:val="5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Zamawiający nie rozpatruje oferty w stosunku do której podczas badania i oceny stwierdzi występowanie następujących okoliczności:</w:t>
      </w:r>
    </w:p>
    <w:p>
      <w:pPr>
        <w:pStyle w:val="ListParagraph"/>
        <w:widowControl/>
        <w:numPr>
          <w:ilvl w:val="0"/>
          <w:numId w:val="6"/>
        </w:numPr>
        <w:spacing w:lineRule="auto" w:line="276"/>
        <w:ind w:hanging="283" w:left="851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Jej treść nie odpowiada treści Zapytania ofertowego,</w:t>
      </w:r>
    </w:p>
    <w:p>
      <w:pPr>
        <w:pStyle w:val="ListParagraph"/>
        <w:widowControl/>
        <w:numPr>
          <w:ilvl w:val="0"/>
          <w:numId w:val="6"/>
        </w:numPr>
        <w:spacing w:lineRule="auto" w:line="276"/>
        <w:ind w:hanging="283" w:left="851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Jej złożenie stanowi czyn nieuczciwej konkurencji w rozumieniu przepisów o zwalczaniu nieuczciwej konkurencji,</w:t>
      </w:r>
    </w:p>
    <w:p>
      <w:pPr>
        <w:pStyle w:val="ListParagraph"/>
        <w:widowControl/>
        <w:numPr>
          <w:ilvl w:val="0"/>
          <w:numId w:val="6"/>
        </w:numPr>
        <w:spacing w:lineRule="auto" w:line="276"/>
        <w:ind w:hanging="283" w:left="851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Zawiera rażąco niską cenę lub koszt – co zostało poprzedzone wcześniejszymi wyjaśnieniami Wykonawcy złożonymi na wezwanie Zamawiającego,</w:t>
      </w:r>
    </w:p>
    <w:p>
      <w:pPr>
        <w:pStyle w:val="ListParagraph"/>
        <w:widowControl/>
        <w:numPr>
          <w:ilvl w:val="0"/>
          <w:numId w:val="6"/>
        </w:numPr>
        <w:spacing w:lineRule="auto" w:line="276"/>
        <w:ind w:hanging="283" w:left="851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Została złożona przez Wykonawcę wykluczonego z udziału w postępowaniu,</w:t>
      </w:r>
    </w:p>
    <w:p>
      <w:pPr>
        <w:pStyle w:val="ListParagraph"/>
        <w:widowControl/>
        <w:numPr>
          <w:ilvl w:val="0"/>
          <w:numId w:val="6"/>
        </w:numPr>
        <w:spacing w:lineRule="auto" w:line="276"/>
        <w:ind w:hanging="283" w:left="851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Zawiera błędy w obliczeniu ceny,</w:t>
      </w:r>
    </w:p>
    <w:p>
      <w:pPr>
        <w:pStyle w:val="ListParagraph"/>
        <w:widowControl/>
        <w:numPr>
          <w:ilvl w:val="0"/>
          <w:numId w:val="6"/>
        </w:numPr>
        <w:spacing w:lineRule="auto" w:line="276"/>
        <w:ind w:hanging="283" w:left="851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 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>Jest nieważna na podstawie odrębnych przepisów.</w:t>
      </w:r>
    </w:p>
    <w:p>
      <w:pPr>
        <w:pStyle w:val="ListParagraph"/>
        <w:widowControl/>
        <w:numPr>
          <w:ilvl w:val="0"/>
          <w:numId w:val="5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Zamawiający informuje, że Wykonawcom nie przysługuje prawo do skorzystania ze środków ochrony prawnej przewidzianej przez ustawę Pzp z uwagi na fakt wyłączenia niniejszego postępowania z zakresu przedmiotowego tej ustawy.</w:t>
      </w:r>
    </w:p>
    <w:p>
      <w:pPr>
        <w:pStyle w:val="ListParagraph"/>
        <w:widowControl/>
        <w:numPr>
          <w:ilvl w:val="0"/>
          <w:numId w:val="5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Zamawiający zastrzega prawo do poprawienia treści oferty w przypadku błędów, których poprawa nie zmienia treści oferty oraz poprawek w zakresie wadliwych obliczeń matematycznych i pisarskich (oczywiste omyłki pisarskie lub rachunkowe).</w:t>
      </w:r>
    </w:p>
    <w:p>
      <w:pPr>
        <w:pStyle w:val="ListParagraph"/>
        <w:widowControl/>
        <w:numPr>
          <w:ilvl w:val="0"/>
          <w:numId w:val="5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Wykonawca w celu wykazywania spełniania warunków udziału w postępowaniu może powoływać się na zasoby podmiotu trzeciego.</w:t>
      </w:r>
    </w:p>
    <w:p>
      <w:pPr>
        <w:pStyle w:val="ListParagraph"/>
        <w:widowControl/>
        <w:numPr>
          <w:ilvl w:val="0"/>
          <w:numId w:val="5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bCs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Wykonawca zobowiązany jest do posiadania </w:t>
      </w:r>
      <w:r>
        <w:rPr>
          <w:rFonts w:cs="Calibri" w:ascii="Calibri" w:hAnsi="Calibri" w:asciiTheme="majorHAnsi" w:cstheme="majorHAnsi" w:hAnsiTheme="majorHAnsi"/>
          <w:bCs/>
          <w:sz w:val="22"/>
          <w:szCs w:val="22"/>
        </w:rPr>
        <w:t>uprawnień do wykonywania określonej działalności lub czynności, jeżeli przepisy prawa nakładają obowiązek ich posiadania.</w:t>
      </w:r>
    </w:p>
    <w:p>
      <w:pPr>
        <w:pStyle w:val="ListParagraph"/>
        <w:widowControl/>
        <w:numPr>
          <w:ilvl w:val="0"/>
          <w:numId w:val="5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Wykonawca powołujący się na zasoby podmiotu trzeciego winien załączyć stosowne zobowiązanie tego podmiotu do udostępnienia mu odpowiednich zasobów, na które powołuje się Wykonawca w ofercie.</w:t>
      </w:r>
    </w:p>
    <w:p>
      <w:pPr>
        <w:pStyle w:val="ListParagraph"/>
        <w:widowControl/>
        <w:numPr>
          <w:ilvl w:val="0"/>
          <w:numId w:val="5"/>
        </w:numPr>
        <w:spacing w:lineRule="auto" w:line="276"/>
        <w:ind w:hanging="284" w:left="284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Zamawiający dopuszcza zamianę przedmiotu zamówienia na inny/ podobny po uprzednim poinformowaniu przez Wykonawcę, iż sprzedaż gry bądź książki jest niemożliwa z powodu braku zasobów.</w:t>
      </w:r>
    </w:p>
    <w:p>
      <w:pPr>
        <w:pStyle w:val="ListParagraph"/>
        <w:widowControl/>
        <w:shd w:val="clear" w:color="auto" w:fill="D9D9D9" w:themeFill="background1" w:themeFillShade="d9"/>
        <w:spacing w:lineRule="auto" w:line="276" w:before="120" w:after="120"/>
        <w:ind w:hanging="0" w:left="0"/>
        <w:contextualSpacing/>
        <w:jc w:val="both"/>
        <w:rPr>
          <w:rFonts w:ascii="Calibri" w:hAnsi="Calibri" w:cs="Calibri" w:asciiTheme="majorHAnsi" w:cstheme="majorHAnsi" w:hAnsiTheme="majorHAnsi"/>
          <w:b/>
          <w:bCs/>
          <w:kern w:val="0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/>
          <w:sz w:val="22"/>
          <w:szCs w:val="22"/>
        </w:rPr>
        <w:t>XI. I</w:t>
      </w:r>
      <w:r>
        <w:rPr>
          <w:rFonts w:cs="Calibri" w:ascii="Calibri" w:hAnsi="Calibri" w:asciiTheme="majorHAnsi" w:cstheme="majorHAnsi" w:hAnsiTheme="majorHAnsi"/>
          <w:b/>
          <w:bCs/>
          <w:kern w:val="0"/>
          <w:sz w:val="22"/>
          <w:szCs w:val="22"/>
        </w:rPr>
        <w:t>NFORMACJE DOTYCZĄCE PRZETWARZANIA DANYCH OSOBOWYCH:</w:t>
      </w:r>
    </w:p>
    <w:p>
      <w:pPr>
        <w:pStyle w:val="Normal"/>
        <w:widowControl/>
        <w:spacing w:lineRule="auto" w:line="276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>
      <w:pPr>
        <w:pStyle w:val="ListParagraph"/>
        <w:widowControl/>
        <w:numPr>
          <w:ilvl w:val="0"/>
          <w:numId w:val="16"/>
        </w:numPr>
        <w:spacing w:lineRule="auto" w:line="276"/>
        <w:jc w:val="both"/>
        <w:rPr>
          <w:rFonts w:ascii="Calibri" w:hAnsi="Calibri" w:cs="Calibri" w:asciiTheme="majorHAnsi" w:cstheme="majorHAnsi" w:hAnsiTheme="majorHAnsi"/>
          <w:i/>
          <w:i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administratorem danych osobowych Wykonawcy jest Zamawiający, tj. Powiatowe Centrum Pomocy Rodzinie w Nakle nad Notecią</w:t>
      </w:r>
      <w:r>
        <w:rPr>
          <w:rFonts w:cs="Calibri" w:ascii="Calibri" w:hAnsi="Calibri" w:asciiTheme="majorHAnsi" w:cstheme="majorHAnsi" w:hAnsiTheme="majorHAnsi"/>
          <w:i/>
          <w:sz w:val="22"/>
          <w:szCs w:val="22"/>
        </w:rPr>
        <w:t>;</w:t>
      </w:r>
    </w:p>
    <w:p>
      <w:pPr>
        <w:pStyle w:val="ListParagraph"/>
        <w:widowControl/>
        <w:numPr>
          <w:ilvl w:val="0"/>
          <w:numId w:val="16"/>
        </w:numPr>
        <w:spacing w:lineRule="auto" w:line="276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inspektorem ochrony danych osobowych w Powiatowym Centrum Pomocy Rodzinie jest Pan Daniel Karabasz e-mail: daniel.karabasz@pcpr-naklo.pl, tel. 507 960 502;</w:t>
      </w:r>
    </w:p>
    <w:p>
      <w:pPr>
        <w:pStyle w:val="ListParagraph"/>
        <w:widowControl/>
        <w:numPr>
          <w:ilvl w:val="0"/>
          <w:numId w:val="16"/>
        </w:numPr>
        <w:spacing w:lineRule="auto" w:line="276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Pani/Pana dane osobowe przetwarzane będą na podstawie art. 6 ust. 1 lit. c</w:t>
      </w:r>
      <w:r>
        <w:rPr>
          <w:rFonts w:cs="Calibri" w:ascii="Calibri" w:hAnsi="Calibri" w:asciiTheme="majorHAnsi" w:cstheme="majorHAnsi" w:hAnsiTheme="majorHAnsi"/>
          <w:i/>
          <w:sz w:val="22"/>
          <w:szCs w:val="22"/>
        </w:rPr>
        <w:t xml:space="preserve"> 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RODO w celu związanym z postępowaniem o udzielenie zamówienia publicznego w trybie zapytania ofertowego pn. Zakup i dostawę materiałów edukacyjnych/dydaktycznych, w ramach projektu „Rodzina w Centrum Etap I” </w:t>
      </w:r>
      <w:r>
        <w:rPr>
          <w:rFonts w:cs="Calibri" w:ascii="Calibri" w:hAnsi="Calibri" w:asciiTheme="majorHAnsi" w:cstheme="majorHAnsi" w:hAnsiTheme="majorHAnsi"/>
          <w:b w:val="false"/>
          <w:bCs w:val="false"/>
          <w:sz w:val="22"/>
          <w:szCs w:val="22"/>
        </w:rPr>
        <w:t xml:space="preserve">realizowanego i współfinansowanego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zastępczej.</w:t>
      </w:r>
      <w:r>
        <w:rPr>
          <w:rFonts w:cs="Calibri" w:ascii="Calibri" w:hAnsi="Calibri" w:asciiTheme="majorHAnsi" w:cstheme="majorHAnsi" w:hAnsiTheme="majorHAnsi"/>
          <w:b w:val="false"/>
          <w:bCs w:val="false"/>
          <w:sz w:val="22"/>
          <w:szCs w:val="22"/>
        </w:rPr>
        <w:t xml:space="preserve"> </w:t>
      </w:r>
    </w:p>
    <w:p>
      <w:pPr>
        <w:pStyle w:val="ListParagraph"/>
        <w:widowControl/>
        <w:numPr>
          <w:ilvl w:val="0"/>
          <w:numId w:val="16"/>
        </w:numPr>
        <w:spacing w:lineRule="auto" w:line="276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odbiorcami Pani/Pana danych osobowych będą osoby lub podmioty, którym udostępniona zostanie dokumentacja postępowania w oparciu o przepisy dotyczące zasad udostępniania informacji publicznych oraz art. 96 i n. ustawy Prawo zamówień publicznych</w:t>
      </w:r>
    </w:p>
    <w:p>
      <w:pPr>
        <w:pStyle w:val="ListParagraph"/>
        <w:widowControl/>
        <w:numPr>
          <w:ilvl w:val="0"/>
          <w:numId w:val="16"/>
        </w:numPr>
        <w:spacing w:lineRule="auto" w:line="276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Pani/Pana dane osobowe będą przechowywane, przez okres 4 lat od dnia zakończenia postępowania o udzielenie zamówienia, a w przypadku objęcia niniejszego zamówienia dofinansowaniem z budżetu UE - przez okres wynikający z postanowień zawartej umowy o dofinansowanie pomiędzy Zamawiającym a właściwym organem;</w:t>
      </w:r>
    </w:p>
    <w:p>
      <w:pPr>
        <w:pStyle w:val="ListParagraph"/>
        <w:widowControl/>
        <w:numPr>
          <w:ilvl w:val="0"/>
          <w:numId w:val="16"/>
        </w:numPr>
        <w:spacing w:lineRule="auto" w:line="276"/>
        <w:jc w:val="both"/>
        <w:rPr>
          <w:rFonts w:ascii="Calibri" w:hAnsi="Calibri" w:cs="Calibri" w:asciiTheme="majorHAnsi" w:cstheme="majorHAnsi" w:hAnsiTheme="majorHAnsi"/>
          <w:b/>
          <w:i/>
          <w:i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obowiązek podania przez Panią/Pana danych osobowych bezpośrednio Pani/Pana dotyczących jest wymogiem związanym z udziałem w zapytaniu ofertowym;</w:t>
      </w:r>
    </w:p>
    <w:p>
      <w:pPr>
        <w:pStyle w:val="ListParagraph"/>
        <w:widowControl/>
        <w:numPr>
          <w:ilvl w:val="0"/>
          <w:numId w:val="16"/>
        </w:numPr>
        <w:spacing w:lineRule="auto" w:line="276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w odniesieniu do Pani/Pana danych osobowych decyzje nie będą podejmowane w sposób zautomatyzowany, stosowanie do art. 22 RODO;</w:t>
      </w:r>
    </w:p>
    <w:p>
      <w:pPr>
        <w:pStyle w:val="ListParagraph"/>
        <w:widowControl/>
        <w:numPr>
          <w:ilvl w:val="0"/>
          <w:numId w:val="16"/>
        </w:numPr>
        <w:spacing w:lineRule="auto" w:line="276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posiada Pani/Pan:</w:t>
      </w:r>
    </w:p>
    <w:p>
      <w:pPr>
        <w:pStyle w:val="ListParagraph"/>
        <w:widowControl/>
        <w:numPr>
          <w:ilvl w:val="0"/>
          <w:numId w:val="12"/>
        </w:numPr>
        <w:spacing w:lineRule="auto" w:line="276"/>
        <w:ind w:hanging="283" w:left="567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na podstawie art. 15 RODO prawo dostępu do danych osobowych Pani/Pana dotyczących;</w:t>
      </w:r>
    </w:p>
    <w:p>
      <w:pPr>
        <w:pStyle w:val="ListParagraph"/>
        <w:widowControl/>
        <w:numPr>
          <w:ilvl w:val="0"/>
          <w:numId w:val="12"/>
        </w:numPr>
        <w:spacing w:lineRule="auto" w:line="276"/>
        <w:ind w:hanging="283" w:left="567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na podstawie art. 16 RODO prawo do sprostowania Pani/Pana danych osobowych </w:t>
      </w:r>
      <w:r>
        <w:rPr>
          <w:rFonts w:cs="Calibri" w:ascii="Calibri" w:hAnsi="Calibri" w:asciiTheme="majorHAnsi" w:cstheme="majorHAnsi" w:hAnsiTheme="majorHAnsi"/>
          <w:b/>
          <w:sz w:val="22"/>
          <w:szCs w:val="22"/>
          <w:vertAlign w:val="superscript"/>
        </w:rPr>
        <w:t xml:space="preserve"> - 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>skorzystanie z prawa do sprostowania nie może skutkować zmianą wyniku postępowania o udzielenie zamówienia publicznego ani zmianą postanowień umowy w zakresie niezgodnym z Zapytaniem ofertowym i złożoną ofertą oraz nie może naruszać integralności protokołu oraz jego załączników.;</w:t>
      </w:r>
    </w:p>
    <w:p>
      <w:pPr>
        <w:pStyle w:val="ListParagraph"/>
        <w:widowControl/>
        <w:numPr>
          <w:ilvl w:val="0"/>
          <w:numId w:val="12"/>
        </w:numPr>
        <w:spacing w:lineRule="auto" w:line="276"/>
        <w:ind w:hanging="283" w:left="567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-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członkowskiego.;  </w:t>
      </w:r>
    </w:p>
    <w:p>
      <w:pPr>
        <w:pStyle w:val="ListParagraph"/>
        <w:widowControl/>
        <w:numPr>
          <w:ilvl w:val="0"/>
          <w:numId w:val="12"/>
        </w:numPr>
        <w:spacing w:lineRule="auto" w:line="276"/>
        <w:ind w:hanging="283" w:left="567"/>
        <w:jc w:val="both"/>
        <w:rPr>
          <w:rFonts w:ascii="Calibri" w:hAnsi="Calibri" w:cs="Calibri" w:asciiTheme="majorHAnsi" w:cstheme="majorHAnsi" w:hAnsiTheme="majorHAnsi"/>
          <w:i/>
          <w:i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ListParagraph"/>
        <w:widowControl/>
        <w:numPr>
          <w:ilvl w:val="0"/>
          <w:numId w:val="16"/>
        </w:numPr>
        <w:spacing w:lineRule="auto" w:line="276"/>
        <w:jc w:val="both"/>
        <w:rPr>
          <w:rFonts w:ascii="Calibri" w:hAnsi="Calibri" w:cs="Calibri" w:asciiTheme="majorHAnsi" w:cstheme="majorHAnsi" w:hAnsiTheme="majorHAnsi"/>
          <w:i/>
          <w:i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nie przysługuje Pani/Panu:</w:t>
      </w:r>
    </w:p>
    <w:p>
      <w:pPr>
        <w:pStyle w:val="ListParagraph"/>
        <w:widowControl/>
        <w:numPr>
          <w:ilvl w:val="0"/>
          <w:numId w:val="13"/>
        </w:numPr>
        <w:spacing w:lineRule="auto" w:line="276"/>
        <w:ind w:hanging="283" w:left="567"/>
        <w:jc w:val="both"/>
        <w:rPr>
          <w:rFonts w:ascii="Calibri" w:hAnsi="Calibri" w:cs="Calibri" w:asciiTheme="majorHAnsi" w:cstheme="majorHAnsi" w:hAnsiTheme="majorHAnsi"/>
          <w:i/>
          <w:i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w związku z art. 17 ust. 3 lit. b, d lub e RODO prawo do usunięcia danych osobowych;</w:t>
      </w:r>
    </w:p>
    <w:p>
      <w:pPr>
        <w:pStyle w:val="ListParagraph"/>
        <w:widowControl/>
        <w:numPr>
          <w:ilvl w:val="0"/>
          <w:numId w:val="13"/>
        </w:numPr>
        <w:spacing w:lineRule="auto" w:line="276"/>
        <w:ind w:hanging="283" w:left="567"/>
        <w:jc w:val="both"/>
        <w:rPr>
          <w:rFonts w:ascii="Calibri" w:hAnsi="Calibri" w:cs="Calibri" w:asciiTheme="majorHAnsi" w:cstheme="majorHAnsi" w:hAnsiTheme="majorHAnsi"/>
          <w:b/>
          <w:i/>
          <w:i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prawo do przenoszenia danych osobowych, o którym mowa w art. 20 RODO;</w:t>
      </w:r>
    </w:p>
    <w:p>
      <w:pPr>
        <w:pStyle w:val="ListParagraph"/>
        <w:widowControl/>
        <w:numPr>
          <w:ilvl w:val="0"/>
          <w:numId w:val="13"/>
        </w:numPr>
        <w:spacing w:lineRule="auto" w:line="276"/>
        <w:ind w:hanging="283" w:left="567"/>
        <w:jc w:val="both"/>
        <w:rPr>
          <w:rFonts w:ascii="Calibri" w:hAnsi="Calibri" w:cs="Calibri" w:asciiTheme="majorHAnsi" w:cstheme="majorHAnsi" w:hAnsiTheme="majorHAnsi"/>
          <w:i/>
          <w:i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>
      <w:pPr>
        <w:pStyle w:val="Normal"/>
        <w:widowControl/>
        <w:shd w:val="clear" w:color="auto" w:fill="D9D9D9" w:themeFill="background1" w:themeFillShade="d9"/>
        <w:spacing w:lineRule="auto" w:line="276" w:before="120" w:after="120"/>
        <w:jc w:val="both"/>
        <w:rPr>
          <w:rFonts w:ascii="Calibri" w:hAnsi="Calibri" w:cs="Calibri" w:asciiTheme="majorHAnsi" w:cstheme="majorHAnsi" w:hAnsiTheme="majorHAnsi"/>
          <w:i/>
          <w:i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/>
          <w:bCs/>
          <w:color w:val="000000"/>
          <w:kern w:val="0"/>
          <w:sz w:val="22"/>
          <w:szCs w:val="22"/>
        </w:rPr>
        <w:t xml:space="preserve">XII. POSTANOWIENIA KOŃCOWE </w:t>
      </w:r>
    </w:p>
    <w:p>
      <w:pPr>
        <w:pStyle w:val="Normal"/>
        <w:spacing w:lineRule="auto" w:line="276"/>
        <w:ind w:firstLine="708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 xml:space="preserve">W sprawach nieuregulowanych w niniejszych wymaganiach mają zastosowanie przepisy ustawy z dnia 23 kwietnia 1964 roku Kodeks cywilny (Dz. U. 2023 poz. 1890 t. j.) </w:t>
      </w:r>
    </w:p>
    <w:p>
      <w:pPr>
        <w:pStyle w:val="ListParagraph"/>
        <w:shd w:val="clear" w:color="auto" w:fill="D9D9D9" w:themeFill="background1" w:themeFillShade="d9"/>
        <w:spacing w:lineRule="auto" w:line="276" w:before="120" w:after="120"/>
        <w:ind w:hanging="0" w:left="0"/>
        <w:contextualSpacing/>
        <w:jc w:val="both"/>
        <w:rPr>
          <w:rFonts w:ascii="Calibri" w:hAnsi="Calibri" w:cs="Calibri" w:asciiTheme="majorHAnsi" w:cstheme="majorHAnsi" w:hAnsiTheme="majorHAnsi"/>
          <w:b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b/>
          <w:sz w:val="22"/>
          <w:szCs w:val="22"/>
        </w:rPr>
        <w:t>ZAŁĄCZNIKI:</w:t>
      </w:r>
    </w:p>
    <w:p>
      <w:pPr>
        <w:pStyle w:val="Normal"/>
        <w:spacing w:lineRule="auto" w:line="276"/>
        <w:ind w:hanging="1418" w:left="1418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Załącznik nr 1 – Formularz ofertowy</w:t>
      </w:r>
    </w:p>
    <w:p>
      <w:pPr>
        <w:pStyle w:val="Normal"/>
        <w:spacing w:lineRule="auto" w:line="276"/>
        <w:ind w:hanging="1418" w:left="1418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Załącznik nr 2 – Oświadczenie o spełnianiu warunków udziału w postępowaniu</w:t>
      </w:r>
    </w:p>
    <w:p>
      <w:pPr>
        <w:pStyle w:val="Normal"/>
        <w:spacing w:lineRule="auto" w:line="276"/>
        <w:ind w:hanging="1418" w:left="1418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sz w:val="22"/>
          <w:szCs w:val="22"/>
        </w:rPr>
        <w:t>Załącznik nr 3 – Wzór umowy</w:t>
      </w:r>
    </w:p>
    <w:p>
      <w:pPr>
        <w:pStyle w:val="Normal"/>
        <w:tabs>
          <w:tab w:val="clear" w:pos="708"/>
          <w:tab w:val="left" w:pos="836" w:leader="none"/>
        </w:tabs>
        <w:spacing w:lineRule="auto" w:line="276"/>
        <w:jc w:val="both"/>
        <w:rPr>
          <w:rFonts w:ascii="Calibri" w:hAnsi="Calibri" w:cs="Calibri" w:asciiTheme="majorHAnsi" w:cstheme="majorHAnsi" w:hAnsiTheme="majorHAnsi"/>
          <w:sz w:val="22"/>
          <w:szCs w:val="22"/>
        </w:rPr>
      </w:pPr>
      <w:r>
        <w:rPr>
          <w:rFonts w:cs="Calibri" w:ascii="Calibri" w:hAnsi="Calibri" w:asciiTheme="majorHAnsi" w:cstheme="majorHAnsi" w:hAnsiTheme="majorHAnsi"/>
          <w:kern w:val="0"/>
          <w:sz w:val="22"/>
          <w:szCs w:val="22"/>
        </w:rPr>
        <w:t xml:space="preserve">Załącznik nr 4 - </w:t>
      </w:r>
      <w:r>
        <w:rPr>
          <w:rFonts w:cs="Calibri" w:ascii="Calibri" w:hAnsi="Calibri" w:asciiTheme="majorHAnsi" w:cstheme="majorHAnsi" w:hAnsiTheme="majorHAnsi"/>
          <w:sz w:val="22"/>
          <w:szCs w:val="22"/>
        </w:rPr>
        <w:t>Oświadczenie Wykonawcy w zakresie wypełnienia obowiązków informacyjnych przewidzianych w art. 13 lub art. 14 RODO.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708" w:top="1417" w:footer="385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rFonts w:ascii="Calibri" w:hAnsi="Calibri" w:cs="Calibri"/>
        <w:b w:val="false"/>
        <w:bCs w:val="false"/>
        <w:sz w:val="18"/>
        <w:szCs w:val="18"/>
      </w:rPr>
    </w:pPr>
    <w:r>
      <w:rPr>
        <w:rFonts w:cs="Calibri" w:ascii="Calibri" w:hAnsi="Calibri"/>
        <w:b w:val="false"/>
        <w:bCs w:val="false"/>
        <w:sz w:val="18"/>
        <w:szCs w:val="18"/>
      </w:rPr>
    </w:r>
  </w:p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b w:val="false"/>
        <w:bCs w:val="false"/>
        <w:sz w:val="18"/>
        <w:szCs w:val="18"/>
      </w:rPr>
    </w:pPr>
    <w:r>
      <w:rPr>
        <w:rFonts w:cs="Calibri" w:ascii="Calibri" w:hAnsi="Calibri"/>
        <w:b w:val="false"/>
        <w:bCs w:val="false"/>
        <w:sz w:val="18"/>
        <w:szCs w:val="18"/>
      </w:rPr>
      <w:t xml:space="preserve">Projekt realizowany i współfinansowany </w:t>
    </w:r>
    <w:r>
      <w:rPr>
        <w:rFonts w:cs="Calibri" w:ascii="Calibri" w:hAnsi="Calibri"/>
        <w:b w:val="false"/>
        <w:bCs w:val="false"/>
        <w:i w:val="false"/>
        <w:caps w:val="false"/>
        <w:smallCaps w:val="false"/>
        <w:color w:val="000000"/>
        <w:spacing w:val="0"/>
        <w:sz w:val="18"/>
        <w:szCs w:val="18"/>
      </w:rPr>
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zastępczej.</w:t>
    </w:r>
    <w:r>
      <w:rPr>
        <w:rFonts w:cs="Calibri" w:ascii="Calibri" w:hAnsi="Calibri"/>
        <w:b w:val="false"/>
        <w:bCs w:val="false"/>
        <w:sz w:val="18"/>
        <w:szCs w:val="18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rFonts w:ascii="Calibri" w:hAnsi="Calibri" w:cs="Calibri"/>
        <w:b w:val="false"/>
        <w:bCs w:val="false"/>
        <w:sz w:val="18"/>
        <w:szCs w:val="18"/>
      </w:rPr>
    </w:pPr>
    <w:r>
      <w:rPr>
        <w:rFonts w:cs="Calibri" w:ascii="Calibri" w:hAnsi="Calibri"/>
        <w:b w:val="false"/>
        <w:bCs w:val="false"/>
        <w:sz w:val="18"/>
        <w:szCs w:val="18"/>
      </w:rPr>
    </w:r>
  </w:p>
  <w:p>
    <w:pPr>
      <w:pStyle w:val="Footer"/>
      <w:pBdr>
        <w:top w:val="single" w:sz="4" w:space="1" w:color="000000"/>
      </w:pBdr>
      <w:tabs>
        <w:tab w:val="clear" w:pos="9072"/>
        <w:tab w:val="center" w:pos="4536" w:leader="none"/>
      </w:tabs>
      <w:ind w:hanging="0" w:left="-1134" w:right="-1134"/>
      <w:jc w:val="center"/>
      <w:rPr>
        <w:b w:val="false"/>
        <w:bCs w:val="false"/>
        <w:sz w:val="18"/>
        <w:szCs w:val="18"/>
      </w:rPr>
    </w:pPr>
    <w:r>
      <w:rPr>
        <w:rFonts w:cs="Calibri" w:ascii="Calibri" w:hAnsi="Calibri"/>
        <w:b w:val="false"/>
        <w:bCs w:val="false"/>
        <w:sz w:val="18"/>
        <w:szCs w:val="18"/>
      </w:rPr>
      <w:t xml:space="preserve">Projekt realizowany i współfinansowany </w:t>
    </w:r>
    <w:r>
      <w:rPr>
        <w:rFonts w:cs="Calibri" w:ascii="Calibri" w:hAnsi="Calibri"/>
        <w:b w:val="false"/>
        <w:bCs w:val="false"/>
        <w:i w:val="false"/>
        <w:caps w:val="false"/>
        <w:smallCaps w:val="false"/>
        <w:color w:val="000000"/>
        <w:spacing w:val="0"/>
        <w:sz w:val="18"/>
        <w:szCs w:val="18"/>
      </w:rPr>
      <w:t>ze środków Unii Europejskiej w ramach programu Fundusze Europejskie dla Kujaw i Pomorza na lata 2021-2027, Oś priorytetowa 8 Fundusze europejskie na wsparcie w obszarze rynku pracy, edukacji i włączenia społecznego, Działanie 08.25 Usługi wsparcia rodziny i pieczy zastępczej.</w:t>
    </w:r>
    <w:r>
      <w:rPr>
        <w:rFonts w:cs="Calibri" w:ascii="Calibri" w:hAnsi="Calibri"/>
        <w:b w:val="false"/>
        <w:bCs w:val="false"/>
        <w:sz w:val="18"/>
        <w:szCs w:val="18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-285750</wp:posOffset>
          </wp:positionV>
          <wp:extent cx="5760720" cy="710565"/>
          <wp:effectExtent l="0" t="0" r="0" b="0"/>
          <wp:wrapSquare wrapText="bothSides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rPr>
        <w:sz w:val="4"/>
        <w:szCs w:val="4"/>
      </w:rPr>
    </w:pPr>
    <w:r>
      <w:rPr>
        <w:sz w:val="4"/>
        <w:szCs w:val="4"/>
      </w:rPr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-285750</wp:posOffset>
          </wp:positionV>
          <wp:extent cx="5760720" cy="710565"/>
          <wp:effectExtent l="0" t="0" r="0" b="0"/>
          <wp:wrapSquare wrapText="bothSides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0"/>
      </w:pPr>
      <w:rPr>
        <w:rFonts w:ascii="Calibri" w:hAnsi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0"/>
      </w:pPr>
      <w:rPr/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440" w:hanging="0"/>
      </w:pPr>
      <w:rPr/>
    </w:lvl>
    <w:lvl w:ilvl="4">
      <w:start w:val="1"/>
      <w:numFmt w:val="decimal"/>
      <w:lvlText w:val="%5."/>
      <w:lvlJc w:val="left"/>
      <w:pPr>
        <w:tabs>
          <w:tab w:val="num" w:pos="0"/>
        </w:tabs>
        <w:ind w:left="1800" w:hanging="0"/>
      </w:pPr>
      <w:rPr/>
    </w:lvl>
    <w:lvl w:ilvl="5">
      <w:start w:val="1"/>
      <w:numFmt w:val="decimal"/>
      <w:lvlText w:val="%6."/>
      <w:lvlJc w:val="left"/>
      <w:pPr>
        <w:tabs>
          <w:tab w:val="num" w:pos="0"/>
        </w:tabs>
        <w:ind w:left="216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0"/>
      </w:pPr>
      <w:rPr/>
    </w:lvl>
    <w:lvl w:ilvl="7">
      <w:start w:val="1"/>
      <w:numFmt w:val="decimal"/>
      <w:lvlText w:val="%8."/>
      <w:lvlJc w:val="left"/>
      <w:pPr>
        <w:tabs>
          <w:tab w:val="num" w:pos="0"/>
        </w:tabs>
        <w:ind w:left="2880" w:hanging="0"/>
      </w:pPr>
      <w:rPr/>
    </w:lvl>
    <w:lvl w:ilvl="8">
      <w:start w:val="1"/>
      <w:numFmt w:val="decimal"/>
      <w:lvlText w:val="%9."/>
      <w:lvlJc w:val="left"/>
      <w:pPr>
        <w:tabs>
          <w:tab w:val="num" w:pos="0"/>
        </w:tabs>
        <w:ind w:left="3240" w:hanging="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364" w:hanging="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2264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0"/>
      </w:pPr>
      <w:rPr>
        <w:b w:val="fals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424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584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hanging="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hanging="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277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997" w:hanging="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2897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37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57" w:hanging="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5057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97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17" w:hanging="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7217" w:hanging="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04" w:hanging="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1904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44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164" w:hanging="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064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04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24" w:hanging="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224" w:hanging="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hanging="0"/>
      </w:pPr>
      <w:rPr/>
    </w:lvl>
  </w:abstractNum>
  <w:abstractNum w:abstractNumId="9">
    <w:lvl w:ilvl="0">
      <w:numFmt w:val="bullet"/>
      <w:lvlText w:val=""/>
      <w:lvlJc w:val="left"/>
      <w:pPr>
        <w:tabs>
          <w:tab w:val="num" w:pos="0"/>
        </w:tabs>
        <w:ind w:left="644" w:hanging="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364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084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04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524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244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964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684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04" w:hanging="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198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14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300" w:hanging="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1620" w:hanging="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3780" w:hanging="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5940" w:hanging="0"/>
      </w:pPr>
      <w:rPr/>
    </w:lvl>
  </w:abstractNum>
  <w:abstractNum w:abstractNumId="12">
    <w:lvl w:ilvl="0">
      <w:numFmt w:val="bullet"/>
      <w:lvlText w:val="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numFmt w:val="bullet"/>
      <w:lvlText w:val="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Basic Roman"/>
        <w:sz w:val="22"/>
        <w:szCs w:val="22"/>
        <w:lang w:val="pl-PL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2"/>
      <w:sz w:val="24"/>
      <w:szCs w:val="24"/>
      <w:lang w:val="pl-PL" w:eastAsia="zh-CN" w:bidi="ar-SA"/>
    </w:rPr>
  </w:style>
  <w:style w:type="paragraph" w:styleId="Heading1">
    <w:name w:val="heading 1"/>
    <w:basedOn w:val="Normal"/>
    <w:qFormat/>
    <w:pPr>
      <w:spacing w:before="1" w:after="0"/>
      <w:ind w:hanging="0" w:left="1267"/>
      <w:jc w:val="both"/>
      <w:outlineLvl w:val="0"/>
    </w:pPr>
    <w:rPr>
      <w:rFonts w:ascii="Calibri" w:hAnsi="Calibri" w:cs="Calibri"/>
      <w:b/>
      <w:bCs/>
      <w:kern w:val="0"/>
      <w:sz w:val="22"/>
      <w:szCs w:val="22"/>
      <w:lang w:val="en-US"/>
    </w:rPr>
  </w:style>
  <w:style w:type="paragraph" w:styleId="Heading2">
    <w:name w:val="heading 2"/>
    <w:basedOn w:val="Header"/>
    <w:next w:val="BodyText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SimSun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TekstdymkaZnak" w:customStyle="1">
    <w:name w:val="Tekst dymka Znak"/>
    <w:basedOn w:val="DefaultParagraphFont"/>
    <w:qFormat/>
    <w:rPr>
      <w:rFonts w:ascii="Segoe UI" w:hAnsi="Segoe UI" w:cs="Segoe UI"/>
      <w:sz w:val="18"/>
      <w:szCs w:val="18"/>
    </w:rPr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d2306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a22bae"/>
    <w:rPr>
      <w:b/>
      <w:bCs/>
    </w:rPr>
  </w:style>
  <w:style w:type="character" w:styleId="AkapitzlistZnak" w:customStyle="1">
    <w:name w:val="Akapit z listą Znak"/>
    <w:uiPriority w:val="34"/>
    <w:qFormat/>
    <w:locked/>
    <w:rsid w:val="00a22bae"/>
    <w:rPr>
      <w:rFonts w:ascii="Times New Roman" w:hAnsi="Times New Roman" w:cs="Times New Roman"/>
      <w:kern w:val="2"/>
      <w:sz w:val="24"/>
      <w:szCs w:val="24"/>
    </w:rPr>
  </w:style>
  <w:style w:type="character" w:styleId="Znakiprzypiswkocowych" w:customStyle="1">
    <w:name w:val="Znaki przypisów końcowych"/>
    <w:qFormat/>
    <w:rPr/>
  </w:style>
  <w:style w:type="character" w:styleId="InternetLink1">
    <w:name w:val="Internet Link1"/>
    <w:qFormat/>
    <w:rPr>
      <w:color w:val="0000FF"/>
      <w:u w:val="single" w:color="FFFFFF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zh-CN" w:bidi="ar-SA"/>
    </w:rPr>
  </w:style>
  <w:style w:type="paragraph" w:styleId="ListParagraph">
    <w:name w:val="List Paragraph"/>
    <w:basedOn w:val="Normal"/>
    <w:link w:val="AkapitzlistZnak"/>
    <w:uiPriority w:val="34"/>
    <w:qFormat/>
    <w:pPr>
      <w:spacing w:before="0" w:after="0"/>
      <w:ind w:hanging="0" w:left="720"/>
      <w:contextualSpacing/>
    </w:pPr>
    <w:rPr/>
  </w:style>
  <w:style w:type="paragraph" w:styleId="Footer">
    <w:name w:val="footer"/>
    <w:basedOn w:val="Normal"/>
    <w:qFormat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yle38" w:customStyle="1">
    <w:name w:val="Style38"/>
    <w:basedOn w:val="Normal"/>
    <w:qFormat/>
    <w:pPr>
      <w:spacing w:lineRule="exact" w:line="230"/>
    </w:pPr>
    <w:rPr>
      <w:rFonts w:ascii="Arial" w:hAnsi="Arial" w:eastAsia="Times New Roman"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cpr-naklo.rbip.mojregion.info/9/strona-glowna-bip.htm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Calibri" pitchFamily="0" charset="1"/>
        <a:cs typeface="Calibri" pitchFamily="0" charset="1"/>
      </a:majorFont>
      <a:minorFont>
        <a:latin typeface="Times New Roman" pitchFamily="0" charset="1"/>
        <a:ea typeface="Calibri" pitchFamily="0" charset="1"/>
        <a:cs typeface="Times New Roman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Application>LibreOffice/25.2.6.2$Windows_X86_64 LibreOffice_project/729c5bfe710f5eb71ed3bbde9e06a6065e9c6c5d</Application>
  <AppVersion>15.0000</AppVersion>
  <Pages>8</Pages>
  <Words>2604</Words>
  <Characters>16445</Characters>
  <CharactersWithSpaces>18883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2023-11-07T13:48:00Z</dcterms:created>
  <dc:creator>maria.najdul</dc:creator>
  <dc:description/>
  <dc:language>pl-PL</dc:language>
  <cp:lastModifiedBy/>
  <cp:lastPrinted>2023-11-07T13:34:00Z</cp:lastPrinted>
  <dcterms:modified xsi:type="dcterms:W3CDTF">2025-11-13T13:54:06Z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